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Cs w:val="24"/>
        </w:rPr>
      </w:pPr>
    </w:p>
    <w:p>
      <w:pPr>
        <w:widowControl/>
        <w:jc w:val="left"/>
      </w:pPr>
    </w:p>
    <w:p>
      <w:pPr>
        <w:widowControl/>
        <w:spacing w:line="540" w:lineRule="exact"/>
        <w:jc w:val="center"/>
        <w:rPr>
          <w:rFonts w:ascii="宋体" w:hAnsi="宋体" w:cs="宋体"/>
          <w:kern w:val="0"/>
          <w:sz w:val="44"/>
          <w:szCs w:val="44"/>
        </w:rPr>
      </w:pPr>
      <w:r>
        <w:rPr>
          <w:rFonts w:hint="eastAsia" w:ascii="宋体" w:hAnsi="宋体" w:cs="宋体"/>
          <w:kern w:val="0"/>
          <w:sz w:val="44"/>
          <w:szCs w:val="44"/>
        </w:rPr>
        <w:t>青岛市森林防火条例</w:t>
      </w:r>
    </w:p>
    <w:p>
      <w:pPr>
        <w:widowControl/>
        <w:spacing w:line="540" w:lineRule="exact"/>
        <w:jc w:val="center"/>
        <w:rPr>
          <w:rFonts w:hint="eastAsia" w:ascii="宋体" w:hAnsi="宋体" w:cs="宋体"/>
          <w:kern w:val="0"/>
          <w:sz w:val="44"/>
          <w:szCs w:val="44"/>
        </w:rPr>
      </w:pPr>
    </w:p>
    <w:p>
      <w:pPr>
        <w:widowControl/>
        <w:spacing w:line="540" w:lineRule="exact"/>
        <w:ind w:firstLine="640" w:firstLineChars="200"/>
        <w:rPr>
          <w:rFonts w:hint="eastAsia" w:ascii="楷体_GB2312" w:hAnsi="Verdana" w:eastAsia="楷体_GB2312" w:cs="宋体"/>
          <w:kern w:val="0"/>
          <w:sz w:val="32"/>
          <w:szCs w:val="32"/>
        </w:rPr>
      </w:pPr>
      <w:r>
        <w:rPr>
          <w:rFonts w:hint="eastAsia" w:ascii="楷体_GB2312" w:hAnsi="Verdana" w:eastAsia="楷体_GB2312" w:cs="宋体"/>
          <w:kern w:val="0"/>
          <w:sz w:val="32"/>
          <w:szCs w:val="32"/>
        </w:rPr>
        <w:t>（2006年8月16日青岛市第十三届人民代表大会常务</w:t>
      </w:r>
    </w:p>
    <w:p>
      <w:pPr>
        <w:widowControl/>
        <w:spacing w:line="540" w:lineRule="exact"/>
        <w:ind w:firstLine="640" w:firstLineChars="200"/>
        <w:rPr>
          <w:rFonts w:hint="eastAsia" w:ascii="楷体_GB2312" w:hAnsi="Verdana" w:eastAsia="楷体_GB2312" w:cs="宋体"/>
          <w:kern w:val="0"/>
          <w:sz w:val="32"/>
          <w:szCs w:val="32"/>
        </w:rPr>
      </w:pPr>
      <w:r>
        <w:rPr>
          <w:rFonts w:hint="eastAsia" w:ascii="楷体_GB2312" w:hAnsi="Verdana" w:eastAsia="楷体_GB2312" w:cs="宋体"/>
          <w:kern w:val="0"/>
          <w:sz w:val="32"/>
          <w:szCs w:val="32"/>
        </w:rPr>
        <w:t>委员会第二十九次会议通过　2006年9月29日山东省</w:t>
      </w:r>
    </w:p>
    <w:p>
      <w:pPr>
        <w:widowControl/>
        <w:spacing w:line="540" w:lineRule="exact"/>
        <w:ind w:firstLine="656" w:firstLineChars="200"/>
        <w:rPr>
          <w:rFonts w:hint="eastAsia" w:ascii="楷体_GB2312" w:hAnsi="Verdana" w:eastAsia="楷体_GB2312" w:cs="宋体"/>
          <w:spacing w:val="4"/>
          <w:kern w:val="0"/>
          <w:sz w:val="32"/>
          <w:szCs w:val="32"/>
        </w:rPr>
      </w:pPr>
      <w:r>
        <w:rPr>
          <w:rFonts w:hint="eastAsia" w:ascii="楷体_GB2312" w:hAnsi="Verdana" w:eastAsia="楷体_GB2312" w:cs="宋体"/>
          <w:spacing w:val="4"/>
          <w:kern w:val="0"/>
          <w:sz w:val="32"/>
          <w:szCs w:val="32"/>
        </w:rPr>
        <w:t>第十届人民代表大会常务委员会第二十三次会议批准</w:t>
      </w:r>
    </w:p>
    <w:p>
      <w:pPr>
        <w:widowControl/>
        <w:spacing w:line="540" w:lineRule="exact"/>
        <w:ind w:firstLine="640" w:firstLineChars="200"/>
        <w:rPr>
          <w:rFonts w:hint="eastAsia" w:ascii="楷体_GB2312" w:hAnsi="Verdana" w:eastAsia="楷体_GB2312" w:cs="宋体"/>
          <w:kern w:val="0"/>
          <w:sz w:val="32"/>
          <w:szCs w:val="32"/>
        </w:rPr>
      </w:pPr>
      <w:r>
        <w:rPr>
          <w:rFonts w:hint="eastAsia" w:ascii="楷体_GB2312" w:hAnsi="Verdana" w:eastAsia="楷体_GB2312" w:cs="宋体"/>
          <w:kern w:val="0"/>
          <w:sz w:val="32"/>
          <w:szCs w:val="32"/>
        </w:rPr>
        <w:t>2006年9月29日青岛市人民代表大会常务委员会公告</w:t>
      </w:r>
    </w:p>
    <w:p>
      <w:pPr>
        <w:widowControl/>
        <w:spacing w:line="540" w:lineRule="exact"/>
        <w:ind w:firstLine="640" w:firstLineChars="200"/>
        <w:rPr>
          <w:rFonts w:hint="eastAsia" w:ascii="楷体_GB2312" w:hAnsi="Verdana" w:eastAsia="楷体_GB2312" w:cs="宋体"/>
          <w:kern w:val="0"/>
          <w:sz w:val="32"/>
          <w:szCs w:val="32"/>
        </w:rPr>
      </w:pPr>
      <w:r>
        <w:rPr>
          <w:rFonts w:hint="eastAsia" w:ascii="楷体_GB2312" w:hAnsi="Verdana" w:eastAsia="楷体_GB2312" w:cs="宋体"/>
          <w:kern w:val="0"/>
          <w:sz w:val="32"/>
          <w:szCs w:val="32"/>
        </w:rPr>
        <w:t>公布  2007年1月1日起施行根据2010年11月25日</w:t>
      </w:r>
    </w:p>
    <w:p>
      <w:pPr>
        <w:widowControl/>
        <w:spacing w:line="540" w:lineRule="exact"/>
        <w:ind w:firstLine="656" w:firstLineChars="200"/>
        <w:rPr>
          <w:rFonts w:hint="eastAsia" w:ascii="楷体_GB2312" w:hAnsi="Verdana" w:eastAsia="楷体_GB2312" w:cs="宋体"/>
          <w:spacing w:val="4"/>
          <w:kern w:val="0"/>
          <w:sz w:val="32"/>
          <w:szCs w:val="32"/>
        </w:rPr>
      </w:pPr>
      <w:r>
        <w:rPr>
          <w:rFonts w:hint="eastAsia" w:ascii="楷体_GB2312" w:hAnsi="Verdana" w:eastAsia="楷体_GB2312" w:cs="宋体"/>
          <w:spacing w:val="4"/>
          <w:kern w:val="0"/>
          <w:sz w:val="32"/>
          <w:szCs w:val="32"/>
        </w:rPr>
        <w:t>山东省第十一届人民代表大会常务委员会第二十次会</w:t>
      </w:r>
    </w:p>
    <w:p>
      <w:pPr>
        <w:widowControl/>
        <w:spacing w:line="540" w:lineRule="exact"/>
        <w:ind w:firstLine="640" w:firstLineChars="200"/>
        <w:rPr>
          <w:rFonts w:hint="eastAsia" w:ascii="楷体_GB2312" w:hAnsi="Verdana" w:eastAsia="楷体_GB2312" w:cs="宋体"/>
          <w:kern w:val="0"/>
          <w:sz w:val="32"/>
          <w:szCs w:val="32"/>
        </w:rPr>
      </w:pPr>
      <w:r>
        <w:rPr>
          <w:rFonts w:hint="eastAsia" w:ascii="楷体_GB2312" w:hAnsi="Verdana" w:eastAsia="楷体_GB2312" w:cs="宋体"/>
          <w:kern w:val="0"/>
          <w:sz w:val="32"/>
          <w:szCs w:val="32"/>
        </w:rPr>
        <w:t>议批准的2010年10月29日青岛市第十四届人民代表</w:t>
      </w:r>
    </w:p>
    <w:p>
      <w:pPr>
        <w:widowControl/>
        <w:spacing w:line="540" w:lineRule="exact"/>
        <w:ind w:firstLine="624" w:firstLineChars="200"/>
        <w:rPr>
          <w:rFonts w:hint="eastAsia" w:ascii="楷体_GB2312" w:hAnsi="Verdana" w:eastAsia="楷体_GB2312" w:cs="宋体"/>
          <w:spacing w:val="-4"/>
          <w:kern w:val="0"/>
          <w:sz w:val="32"/>
          <w:szCs w:val="32"/>
        </w:rPr>
      </w:pPr>
      <w:r>
        <w:rPr>
          <w:rFonts w:hint="eastAsia" w:ascii="楷体_GB2312" w:hAnsi="Verdana" w:eastAsia="楷体_GB2312" w:cs="宋体"/>
          <w:spacing w:val="-4"/>
          <w:kern w:val="0"/>
          <w:sz w:val="32"/>
          <w:szCs w:val="32"/>
        </w:rPr>
        <w:t>大会常务委员会第二十一次会议《关于修改部分地方性</w:t>
      </w:r>
    </w:p>
    <w:p>
      <w:pPr>
        <w:widowControl/>
        <w:spacing w:line="540" w:lineRule="exact"/>
        <w:ind w:firstLine="640" w:firstLineChars="200"/>
        <w:rPr>
          <w:rFonts w:hint="eastAsia" w:ascii="楷体_GB2312" w:hAnsi="宋体" w:eastAsia="楷体_GB2312" w:cs="Courier New"/>
          <w:kern w:val="0"/>
          <w:sz w:val="32"/>
          <w:szCs w:val="32"/>
        </w:rPr>
      </w:pPr>
      <w:r>
        <w:rPr>
          <w:rFonts w:hint="eastAsia" w:ascii="楷体_GB2312" w:hAnsi="Verdana" w:eastAsia="楷体_GB2312" w:cs="宋体"/>
          <w:kern w:val="0"/>
          <w:sz w:val="32"/>
          <w:szCs w:val="32"/>
        </w:rPr>
        <w:t>法规的决定》第一次修正</w:t>
      </w:r>
      <w:r>
        <w:rPr>
          <w:rFonts w:hint="eastAsia" w:ascii="楷体_GB2312" w:hAnsi="宋体" w:eastAsia="楷体_GB2312" w:cs="Courier New"/>
          <w:kern w:val="0"/>
          <w:sz w:val="32"/>
          <w:szCs w:val="32"/>
        </w:rPr>
        <w:t>根据2018年9月7日青岛市</w:t>
      </w:r>
    </w:p>
    <w:p>
      <w:pPr>
        <w:widowControl/>
        <w:spacing w:line="540" w:lineRule="exact"/>
        <w:ind w:firstLine="640" w:firstLineChars="200"/>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第十六届人民代表大会常务委员会第十一次会议《关于</w:t>
      </w:r>
    </w:p>
    <w:p>
      <w:pPr>
        <w:widowControl/>
        <w:spacing w:line="540" w:lineRule="exact"/>
        <w:ind w:firstLine="640" w:firstLineChars="200"/>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修改〈青岛市环境噪声管理规定〉等十九件地方性法规</w:t>
      </w:r>
    </w:p>
    <w:p>
      <w:pPr>
        <w:widowControl/>
        <w:spacing w:line="540" w:lineRule="exact"/>
        <w:ind w:firstLine="640" w:firstLineChars="200"/>
        <w:rPr>
          <w:rFonts w:hint="eastAsia" w:ascii="楷体_GB2312" w:hAnsi="宋体" w:eastAsia="楷体_GB2312" w:cs="Courier New"/>
          <w:kern w:val="0"/>
          <w:sz w:val="32"/>
          <w:szCs w:val="32"/>
        </w:rPr>
      </w:pPr>
      <w:r>
        <w:rPr>
          <w:rFonts w:hint="eastAsia" w:ascii="楷体_GB2312" w:hAnsi="宋体" w:eastAsia="楷体_GB2312" w:cs="Courier New"/>
          <w:kern w:val="0"/>
          <w:sz w:val="32"/>
          <w:szCs w:val="32"/>
        </w:rPr>
        <w:t>的决定》第二次修正）</w:t>
      </w:r>
    </w:p>
    <w:p>
      <w:pPr>
        <w:widowControl/>
        <w:spacing w:line="540" w:lineRule="exact"/>
        <w:ind w:firstLine="645"/>
        <w:rPr>
          <w:rFonts w:ascii="仿宋_GB2312" w:hAnsi="宋体" w:eastAsia="仿宋_GB2312" w:cs="Courier New"/>
          <w:kern w:val="0"/>
          <w:sz w:val="32"/>
          <w:szCs w:val="32"/>
        </w:rPr>
      </w:pPr>
    </w:p>
    <w:p>
      <w:pPr>
        <w:widowControl/>
        <w:spacing w:line="540" w:lineRule="exact"/>
        <w:ind w:firstLine="3360" w:firstLineChars="1050"/>
        <w:rPr>
          <w:rFonts w:ascii="楷体_GB2312" w:hAnsi="Verdana" w:eastAsia="楷体_GB2312" w:cs="宋体"/>
          <w:kern w:val="0"/>
          <w:sz w:val="32"/>
          <w:szCs w:val="32"/>
        </w:rPr>
      </w:pPr>
      <w:r>
        <w:rPr>
          <w:rFonts w:hint="eastAsia" w:ascii="楷体_GB2312" w:hAnsi="Verdana" w:eastAsia="楷体_GB2312" w:cs="宋体"/>
          <w:kern w:val="0"/>
          <w:sz w:val="32"/>
          <w:szCs w:val="32"/>
        </w:rPr>
        <w:t>目</w:t>
      </w:r>
      <w:r>
        <w:rPr>
          <w:rFonts w:ascii="楷体_GB2312" w:hAnsi="Verdana" w:eastAsia="楷体_GB2312" w:cs="宋体"/>
          <w:kern w:val="0"/>
          <w:sz w:val="32"/>
          <w:szCs w:val="32"/>
        </w:rPr>
        <w:t xml:space="preserve">  </w:t>
      </w:r>
      <w:r>
        <w:rPr>
          <w:rFonts w:hint="eastAsia" w:ascii="楷体_GB2312" w:hAnsi="Verdana" w:eastAsia="楷体_GB2312" w:cs="宋体"/>
          <w:kern w:val="0"/>
          <w:sz w:val="32"/>
          <w:szCs w:val="32"/>
        </w:rPr>
        <w:t>录</w:t>
      </w:r>
    </w:p>
    <w:p>
      <w:pPr>
        <w:widowControl/>
        <w:spacing w:line="540" w:lineRule="exact"/>
        <w:ind w:firstLine="640" w:firstLineChars="200"/>
        <w:rPr>
          <w:rFonts w:ascii="楷体_GB2312" w:hAnsi="Verdana" w:eastAsia="楷体_GB2312" w:cs="宋体"/>
          <w:kern w:val="0"/>
          <w:sz w:val="32"/>
          <w:szCs w:val="32"/>
        </w:rPr>
      </w:pPr>
      <w:r>
        <w:rPr>
          <w:rFonts w:hint="eastAsia" w:ascii="楷体_GB2312" w:hAnsi="Verdana" w:eastAsia="楷体_GB2312" w:cs="宋体"/>
          <w:kern w:val="0"/>
          <w:sz w:val="32"/>
          <w:szCs w:val="32"/>
        </w:rPr>
        <w:t>第一章</w:t>
      </w:r>
      <w:r>
        <w:rPr>
          <w:rFonts w:ascii="楷体_GB2312" w:hAnsi="Verdana" w:eastAsia="楷体_GB2312" w:cs="宋体"/>
          <w:kern w:val="0"/>
          <w:sz w:val="32"/>
          <w:szCs w:val="32"/>
        </w:rPr>
        <w:t xml:space="preserve">  </w:t>
      </w:r>
      <w:r>
        <w:rPr>
          <w:rFonts w:hint="eastAsia" w:ascii="楷体_GB2312" w:hAnsi="Verdana" w:eastAsia="楷体_GB2312" w:cs="宋体"/>
          <w:kern w:val="0"/>
          <w:sz w:val="32"/>
          <w:szCs w:val="32"/>
        </w:rPr>
        <w:t>总则</w:t>
      </w:r>
    </w:p>
    <w:p>
      <w:pPr>
        <w:widowControl/>
        <w:spacing w:line="540" w:lineRule="exact"/>
        <w:ind w:firstLine="640" w:firstLineChars="200"/>
        <w:jc w:val="left"/>
        <w:rPr>
          <w:rFonts w:ascii="楷体_GB2312" w:hAnsi="Verdana" w:eastAsia="楷体_GB2312" w:cs="宋体"/>
          <w:kern w:val="0"/>
          <w:sz w:val="32"/>
          <w:szCs w:val="32"/>
        </w:rPr>
      </w:pPr>
      <w:r>
        <w:rPr>
          <w:rFonts w:hint="eastAsia" w:ascii="楷体_GB2312" w:hAnsi="Verdana" w:eastAsia="楷体_GB2312" w:cs="宋体"/>
          <w:kern w:val="0"/>
          <w:sz w:val="32"/>
          <w:szCs w:val="32"/>
        </w:rPr>
        <w:t>第二章</w:t>
      </w:r>
      <w:r>
        <w:rPr>
          <w:rFonts w:ascii="楷体_GB2312" w:hAnsi="Verdana" w:eastAsia="楷体_GB2312" w:cs="宋体"/>
          <w:kern w:val="0"/>
          <w:sz w:val="32"/>
          <w:szCs w:val="32"/>
        </w:rPr>
        <w:t xml:space="preserve">  </w:t>
      </w:r>
      <w:r>
        <w:rPr>
          <w:rFonts w:hint="eastAsia" w:ascii="楷体_GB2312" w:hAnsi="Verdana" w:eastAsia="楷体_GB2312" w:cs="宋体"/>
          <w:kern w:val="0"/>
          <w:sz w:val="32"/>
          <w:szCs w:val="32"/>
        </w:rPr>
        <w:t>森林防火组织</w:t>
      </w:r>
    </w:p>
    <w:p>
      <w:pPr>
        <w:widowControl/>
        <w:spacing w:line="540" w:lineRule="exact"/>
        <w:ind w:firstLine="640" w:firstLineChars="200"/>
        <w:jc w:val="left"/>
        <w:rPr>
          <w:rFonts w:ascii="楷体_GB2312" w:hAnsi="Verdana" w:eastAsia="楷体_GB2312" w:cs="宋体"/>
          <w:kern w:val="0"/>
          <w:sz w:val="32"/>
          <w:szCs w:val="32"/>
        </w:rPr>
      </w:pPr>
      <w:r>
        <w:rPr>
          <w:rFonts w:hint="eastAsia" w:ascii="楷体_GB2312" w:hAnsi="Verdana" w:eastAsia="楷体_GB2312" w:cs="宋体"/>
          <w:kern w:val="0"/>
          <w:sz w:val="32"/>
          <w:szCs w:val="32"/>
        </w:rPr>
        <w:t>第三章</w:t>
      </w:r>
      <w:r>
        <w:rPr>
          <w:rFonts w:ascii="楷体_GB2312" w:hAnsi="Verdana" w:eastAsia="楷体_GB2312" w:cs="宋体"/>
          <w:kern w:val="0"/>
          <w:sz w:val="32"/>
          <w:szCs w:val="32"/>
        </w:rPr>
        <w:t xml:space="preserve">  </w:t>
      </w:r>
      <w:r>
        <w:rPr>
          <w:rFonts w:hint="eastAsia" w:ascii="楷体_GB2312" w:hAnsi="Verdana" w:eastAsia="楷体_GB2312" w:cs="宋体"/>
          <w:kern w:val="0"/>
          <w:sz w:val="32"/>
          <w:szCs w:val="32"/>
        </w:rPr>
        <w:t>森林火灾预防</w:t>
      </w:r>
    </w:p>
    <w:p>
      <w:pPr>
        <w:widowControl/>
        <w:spacing w:line="540" w:lineRule="exact"/>
        <w:ind w:firstLine="640" w:firstLineChars="200"/>
        <w:jc w:val="left"/>
        <w:rPr>
          <w:rFonts w:ascii="楷体_GB2312" w:hAnsi="Verdana" w:eastAsia="楷体_GB2312" w:cs="宋体"/>
          <w:kern w:val="0"/>
          <w:sz w:val="32"/>
          <w:szCs w:val="18"/>
        </w:rPr>
      </w:pPr>
      <w:r>
        <w:rPr>
          <w:rFonts w:hint="eastAsia" w:ascii="楷体_GB2312" w:hAnsi="Verdana" w:eastAsia="楷体_GB2312" w:cs="宋体"/>
          <w:kern w:val="0"/>
          <w:sz w:val="32"/>
          <w:szCs w:val="18"/>
        </w:rPr>
        <w:t>第四章</w:t>
      </w:r>
      <w:r>
        <w:rPr>
          <w:rFonts w:ascii="楷体_GB2312" w:hAnsi="Verdana" w:eastAsia="楷体_GB2312" w:cs="宋体"/>
          <w:kern w:val="0"/>
          <w:sz w:val="32"/>
          <w:szCs w:val="18"/>
        </w:rPr>
        <w:t xml:space="preserve">  </w:t>
      </w:r>
      <w:r>
        <w:rPr>
          <w:rFonts w:hint="eastAsia" w:ascii="楷体_GB2312" w:hAnsi="Verdana" w:eastAsia="楷体_GB2312" w:cs="宋体"/>
          <w:kern w:val="0"/>
          <w:sz w:val="32"/>
          <w:szCs w:val="18"/>
        </w:rPr>
        <w:t>森林火灾扑救</w:t>
      </w:r>
    </w:p>
    <w:p>
      <w:pPr>
        <w:widowControl/>
        <w:spacing w:line="540" w:lineRule="exact"/>
        <w:ind w:firstLine="640" w:firstLineChars="200"/>
        <w:rPr>
          <w:rFonts w:ascii="楷体_GB2312" w:hAnsi="Verdana" w:eastAsia="楷体_GB2312" w:cs="宋体"/>
          <w:kern w:val="0"/>
          <w:sz w:val="32"/>
          <w:szCs w:val="32"/>
        </w:rPr>
      </w:pPr>
      <w:r>
        <w:rPr>
          <w:rFonts w:hint="eastAsia" w:ascii="楷体_GB2312" w:hAnsi="Verdana" w:eastAsia="楷体_GB2312" w:cs="宋体"/>
          <w:kern w:val="0"/>
          <w:sz w:val="32"/>
          <w:szCs w:val="18"/>
        </w:rPr>
        <w:t>第五章</w:t>
      </w:r>
      <w:r>
        <w:rPr>
          <w:rFonts w:ascii="楷体_GB2312" w:hAnsi="Verdana" w:eastAsia="楷体_GB2312" w:cs="宋体"/>
          <w:kern w:val="0"/>
          <w:sz w:val="32"/>
          <w:szCs w:val="18"/>
        </w:rPr>
        <w:t xml:space="preserve">  </w:t>
      </w:r>
      <w:r>
        <w:rPr>
          <w:rFonts w:hint="eastAsia" w:ascii="楷体_GB2312" w:hAnsi="Verdana" w:eastAsia="楷体_GB2312" w:cs="宋体"/>
          <w:kern w:val="0"/>
          <w:sz w:val="32"/>
          <w:szCs w:val="18"/>
        </w:rPr>
        <w:t>奖励与处罚</w:t>
      </w:r>
    </w:p>
    <w:p>
      <w:pPr>
        <w:widowControl/>
        <w:spacing w:line="540" w:lineRule="exact"/>
        <w:ind w:firstLine="640" w:firstLineChars="200"/>
        <w:jc w:val="left"/>
        <w:rPr>
          <w:rFonts w:ascii="楷体_GB2312" w:hAnsi="Verdana" w:eastAsia="楷体_GB2312" w:cs="宋体"/>
          <w:kern w:val="0"/>
          <w:sz w:val="32"/>
          <w:szCs w:val="18"/>
        </w:rPr>
      </w:pPr>
      <w:r>
        <w:rPr>
          <w:rFonts w:hint="eastAsia" w:ascii="楷体_GB2312" w:hAnsi="Verdana" w:eastAsia="楷体_GB2312" w:cs="宋体"/>
          <w:kern w:val="0"/>
          <w:sz w:val="32"/>
          <w:szCs w:val="18"/>
        </w:rPr>
        <w:t>第六章</w:t>
      </w:r>
      <w:r>
        <w:rPr>
          <w:rFonts w:ascii="楷体_GB2312" w:hAnsi="Verdana" w:eastAsia="楷体_GB2312" w:cs="宋体"/>
          <w:kern w:val="0"/>
          <w:sz w:val="32"/>
          <w:szCs w:val="18"/>
        </w:rPr>
        <w:t xml:space="preserve">  </w:t>
      </w:r>
      <w:r>
        <w:rPr>
          <w:rFonts w:hint="eastAsia" w:ascii="楷体_GB2312" w:hAnsi="Verdana" w:eastAsia="楷体_GB2312" w:cs="宋体"/>
          <w:kern w:val="0"/>
          <w:sz w:val="32"/>
          <w:szCs w:val="18"/>
        </w:rPr>
        <w:t>附则</w:t>
      </w:r>
    </w:p>
    <w:p>
      <w:pPr>
        <w:widowControl/>
        <w:spacing w:line="520" w:lineRule="exact"/>
        <w:ind w:firstLine="640" w:firstLineChars="200"/>
        <w:rPr>
          <w:rFonts w:ascii="仿宋_GB2312" w:hAnsi="Verdana" w:eastAsia="仿宋_GB2312" w:cs="宋体"/>
          <w:kern w:val="0"/>
          <w:sz w:val="32"/>
          <w:szCs w:val="32"/>
        </w:rPr>
      </w:pPr>
      <w:bookmarkStart w:id="0" w:name="_GoBack"/>
      <w:bookmarkEnd w:id="0"/>
    </w:p>
    <w:p>
      <w:pPr>
        <w:widowControl/>
        <w:numPr>
          <w:ilvl w:val="0"/>
          <w:numId w:val="1"/>
        </w:numPr>
        <w:spacing w:line="520" w:lineRule="exact"/>
        <w:jc w:val="center"/>
        <w:rPr>
          <w:rFonts w:ascii="黑体" w:hAnsi="Verdana" w:eastAsia="黑体" w:cs="宋体"/>
          <w:kern w:val="0"/>
          <w:sz w:val="32"/>
          <w:szCs w:val="32"/>
        </w:rPr>
      </w:pPr>
      <w:r>
        <w:rPr>
          <w:rFonts w:hint="eastAsia" w:ascii="黑体" w:hAnsi="Verdana" w:eastAsia="黑体" w:cs="宋体"/>
          <w:kern w:val="0"/>
          <w:sz w:val="32"/>
          <w:szCs w:val="32"/>
        </w:rPr>
        <w:t>总则</w:t>
      </w:r>
    </w:p>
    <w:p>
      <w:pPr>
        <w:widowControl/>
        <w:spacing w:line="520" w:lineRule="exact"/>
        <w:jc w:val="center"/>
        <w:rPr>
          <w:rFonts w:hint="eastAsia" w:ascii="黑体" w:hAnsi="Verdana" w:eastAsia="黑体" w:cs="宋体"/>
          <w:kern w:val="0"/>
          <w:sz w:val="32"/>
          <w:szCs w:val="32"/>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第一条</w:t>
      </w:r>
      <w:r>
        <w:rPr>
          <w:rFonts w:ascii="黑体" w:hAnsi="Verdana" w:eastAsia="黑体" w:cs="宋体"/>
          <w:kern w:val="0"/>
          <w:sz w:val="32"/>
          <w:szCs w:val="32"/>
        </w:rPr>
        <w:t xml:space="preserve"> </w:t>
      </w:r>
      <w:r>
        <w:rPr>
          <w:rFonts w:hint="eastAsia" w:ascii="Verdana" w:hAnsi="Verdana" w:eastAsia="仿宋_GB2312" w:cs="宋体"/>
          <w:kern w:val="0"/>
          <w:sz w:val="32"/>
          <w:szCs w:val="18"/>
        </w:rPr>
        <w:t>为了有效预防和扑救森林火灾，保护森林资源，根据《中华人民共和国森林法》等有关法律、法规的规定，结合本市实际，制定本条例。</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第二条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本市行政区域内的森林防火适用本条例。</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第三条</w:t>
      </w:r>
      <w:r>
        <w:rPr>
          <w:rFonts w:ascii="黑体" w:hAnsi="Verdana" w:eastAsia="黑体" w:cs="宋体"/>
          <w:kern w:val="0"/>
          <w:sz w:val="32"/>
          <w:szCs w:val="32"/>
        </w:rPr>
        <w:t xml:space="preserve"> </w:t>
      </w:r>
      <w:r>
        <w:rPr>
          <w:rFonts w:hint="eastAsia" w:ascii="Verdana" w:hAnsi="Verdana" w:eastAsia="仿宋_GB2312" w:cs="宋体"/>
          <w:kern w:val="0"/>
          <w:sz w:val="32"/>
          <w:szCs w:val="18"/>
        </w:rPr>
        <w:t>本条例所称森林防火，是指森林、林木和林地火灾的预防和扑救。</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第四条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各级人民政府应当加强对森林防火工作的领导，实行行政首长负责制。</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各级林业、园林行政主管部门依照职责权限负责本辖区森林防火的指导、协调和监督工作，实行部门负责人责任制。</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其他有关部门依照各自职责权限做好森林防火工作。</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森林经营管理者负责其经营管理范围内的森林防火工作，实行经营管理负责人责任制。</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第五条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各级人民政府应当将森林防火工作纳入当地国民经济和社会发展计划，并将森林防火经费纳入地方财政预算。</w:t>
      </w:r>
    </w:p>
    <w:p>
      <w:pPr>
        <w:widowControl/>
        <w:spacing w:line="520" w:lineRule="exact"/>
        <w:ind w:firstLine="800" w:firstLineChars="250"/>
        <w:rPr>
          <w:rFonts w:hint="eastAsia" w:ascii="Verdana" w:hAnsi="Verdana" w:eastAsia="仿宋_GB2312" w:cs="宋体"/>
          <w:kern w:val="0"/>
          <w:sz w:val="32"/>
          <w:szCs w:val="18"/>
        </w:rPr>
      </w:pPr>
    </w:p>
    <w:p>
      <w:pPr>
        <w:widowControl/>
        <w:numPr>
          <w:ilvl w:val="0"/>
          <w:numId w:val="1"/>
        </w:numPr>
        <w:spacing w:line="520" w:lineRule="exact"/>
        <w:jc w:val="center"/>
        <w:rPr>
          <w:rFonts w:ascii="黑体" w:hAnsi="Verdana" w:eastAsia="黑体" w:cs="宋体"/>
          <w:kern w:val="0"/>
          <w:sz w:val="32"/>
          <w:szCs w:val="32"/>
        </w:rPr>
      </w:pPr>
      <w:r>
        <w:rPr>
          <w:rFonts w:hint="eastAsia" w:ascii="黑体" w:hAnsi="Verdana" w:eastAsia="黑体" w:cs="宋体"/>
          <w:kern w:val="0"/>
          <w:sz w:val="32"/>
          <w:szCs w:val="32"/>
        </w:rPr>
        <w:t>森林防火组织</w:t>
      </w:r>
    </w:p>
    <w:p>
      <w:pPr>
        <w:widowControl/>
        <w:spacing w:line="520" w:lineRule="exact"/>
        <w:jc w:val="center"/>
        <w:rPr>
          <w:rFonts w:hint="eastAsia" w:ascii="黑体" w:hAnsi="Verdana" w:eastAsia="黑体" w:cs="宋体"/>
          <w:kern w:val="0"/>
          <w:sz w:val="32"/>
          <w:szCs w:val="32"/>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第六条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区（市）人民政府设立森林防火指挥机构，明确成员单位及其森林防火职责。森林防火指挥机构负责决定有关森林防火的重大事项，指挥森林火灾的扑救，并组织成员单位开展森林防火工作。森林防火指挥机构应当设立办公室，配备专职工作人员负责日常工作。</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森林防火重点镇人民政府（街道办事处）设立基层森林防火指挥机构，负责本辖区森林防火的组织领导工作。</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第七条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林场、风景名胜区、自然保护区、森林公园、城市风景林的经营管理者，应当建立相应的森林防火组织，负责本区域内的森林防火工作。</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第八条</w:t>
      </w:r>
      <w:r>
        <w:rPr>
          <w:rFonts w:ascii="黑体" w:hAnsi="Verdana" w:eastAsia="黑体" w:cs="宋体"/>
          <w:kern w:val="0"/>
          <w:sz w:val="32"/>
          <w:szCs w:val="32"/>
        </w:rPr>
        <w:t xml:space="preserve"> </w:t>
      </w:r>
      <w:r>
        <w:rPr>
          <w:rFonts w:hint="eastAsia" w:ascii="Verdana" w:hAnsi="Verdana" w:eastAsia="仿宋_GB2312" w:cs="宋体"/>
          <w:kern w:val="0"/>
          <w:sz w:val="32"/>
          <w:szCs w:val="18"/>
        </w:rPr>
        <w:t>行政区域交界地带的森林防火工作，由上一级森林防火指挥机构协调建立森林防火联防组织，确定联防责任区域，制定联防制度和措施，做好联防地带的森林防火工作。</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第九条</w:t>
      </w:r>
      <w:r>
        <w:rPr>
          <w:rFonts w:ascii="黑体" w:hAnsi="Verdana" w:eastAsia="黑体" w:cs="宋体"/>
          <w:kern w:val="0"/>
          <w:sz w:val="32"/>
          <w:szCs w:val="32"/>
        </w:rPr>
        <w:t xml:space="preserve"> </w:t>
      </w:r>
      <w:r>
        <w:rPr>
          <w:rFonts w:hint="eastAsia" w:ascii="Verdana" w:hAnsi="Verdana" w:eastAsia="仿宋_GB2312" w:cs="宋体"/>
          <w:kern w:val="0"/>
          <w:sz w:val="32"/>
          <w:szCs w:val="18"/>
        </w:rPr>
        <w:t>区（市）、森林防火重点镇人民政府（街道办事处）应当按照有关规定组织建立森林防火队伍，森林防火重点村（社区）应当建立森林扑火预备队伍。森林防火（扑火预备）队伍应当进行专业训练。</w:t>
      </w:r>
    </w:p>
    <w:p>
      <w:pPr>
        <w:widowControl/>
        <w:spacing w:line="520" w:lineRule="exact"/>
        <w:ind w:firstLine="640" w:firstLineChars="200"/>
        <w:jc w:val="center"/>
        <w:rPr>
          <w:rFonts w:ascii="黑体" w:hAnsi="Verdana" w:eastAsia="黑体" w:cs="宋体"/>
          <w:kern w:val="0"/>
          <w:sz w:val="32"/>
          <w:szCs w:val="32"/>
        </w:rPr>
      </w:pPr>
    </w:p>
    <w:p>
      <w:pPr>
        <w:widowControl/>
        <w:numPr>
          <w:ilvl w:val="0"/>
          <w:numId w:val="1"/>
        </w:numPr>
        <w:spacing w:line="520" w:lineRule="exact"/>
        <w:jc w:val="center"/>
        <w:rPr>
          <w:rFonts w:ascii="黑体" w:hAnsi="Verdana" w:eastAsia="黑体" w:cs="宋体"/>
          <w:kern w:val="0"/>
          <w:sz w:val="32"/>
          <w:szCs w:val="32"/>
        </w:rPr>
      </w:pPr>
      <w:r>
        <w:rPr>
          <w:rFonts w:hint="eastAsia" w:ascii="黑体" w:hAnsi="Verdana" w:eastAsia="黑体" w:cs="宋体"/>
          <w:kern w:val="0"/>
          <w:sz w:val="32"/>
          <w:szCs w:val="32"/>
        </w:rPr>
        <w:t>森林火灾预防</w:t>
      </w:r>
    </w:p>
    <w:p>
      <w:pPr>
        <w:widowControl/>
        <w:spacing w:line="520" w:lineRule="exact"/>
        <w:jc w:val="center"/>
        <w:rPr>
          <w:rFonts w:hint="eastAsia" w:ascii="黑体" w:hAnsi="Verdana" w:eastAsia="黑体" w:cs="宋体"/>
          <w:kern w:val="0"/>
          <w:sz w:val="32"/>
          <w:szCs w:val="32"/>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第十条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本市森林火险区划分为三级</w:t>
      </w:r>
      <w:r>
        <w:rPr>
          <w:rFonts w:ascii="Verdana" w:hAnsi="Verdana" w:eastAsia="仿宋_GB2312" w:cs="宋体"/>
          <w:kern w:val="0"/>
          <w:sz w:val="32"/>
          <w:szCs w:val="18"/>
        </w:rPr>
        <w:t>:</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（一）一级森林火险区，包括自然保护区、风景名胜区、森林公园、城市风景林、沿海防护林和重要的山林；</w:t>
      </w:r>
    </w:p>
    <w:p>
      <w:pPr>
        <w:widowControl/>
        <w:spacing w:line="520" w:lineRule="exact"/>
        <w:ind w:firstLine="200"/>
        <w:rPr>
          <w:rFonts w:ascii="Verdana" w:hAnsi="Verdana" w:eastAsia="仿宋_GB2312" w:cs="宋体"/>
          <w:kern w:val="0"/>
          <w:sz w:val="32"/>
          <w:szCs w:val="18"/>
        </w:rPr>
      </w:pP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（二）二级森林火险区，包括一级森林火险区以外的所有山林和重要的林带；</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（三）三级森林火险区，包括农田林网、四旁树木和其他成片有林地。</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森林火险区的具体范围由市人民政府划定。一、二级森林火险区由区（市）人民政府设立标志。</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第十一条</w:t>
      </w:r>
      <w:r>
        <w:rPr>
          <w:rFonts w:ascii="黑体" w:hAnsi="Verdana" w:eastAsia="黑体" w:cs="宋体"/>
          <w:kern w:val="0"/>
          <w:sz w:val="32"/>
          <w:szCs w:val="32"/>
        </w:rPr>
        <w:t xml:space="preserve"> </w:t>
      </w:r>
      <w:r>
        <w:rPr>
          <w:rFonts w:hint="eastAsia" w:ascii="Verdana" w:hAnsi="Verdana" w:eastAsia="仿宋_GB2312" w:cs="宋体"/>
          <w:kern w:val="0"/>
          <w:sz w:val="32"/>
          <w:szCs w:val="18"/>
        </w:rPr>
        <w:t>市、区（市）人民政府应当组织制定森林火灾应急预案，并每年组织演练。</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森林火灾应急预案应当包括下列内容：</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（一）森林火灾应急组织指挥机构及其职责；</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（二）森林火灾的预警、监测、信息报告和处理；</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（三）森林火灾的应急响应机制和措施；</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（四）资金、物资和技术等保障措施；</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（五）灾后处置。</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32"/>
        </w:rPr>
        <w:t>第十二条</w:t>
      </w:r>
      <w:r>
        <w:rPr>
          <w:rFonts w:ascii="黑体" w:hAnsi="Verdana" w:eastAsia="黑体" w:cs="宋体"/>
          <w:kern w:val="0"/>
          <w:sz w:val="32"/>
          <w:szCs w:val="32"/>
        </w:rPr>
        <w:t xml:space="preserve"> </w:t>
      </w:r>
      <w:r>
        <w:rPr>
          <w:rFonts w:hint="eastAsia" w:ascii="Verdana" w:hAnsi="Verdana" w:eastAsia="仿宋_GB2312" w:cs="宋体"/>
          <w:kern w:val="0"/>
          <w:sz w:val="32"/>
          <w:szCs w:val="18"/>
        </w:rPr>
        <w:t>各级人民政府应当组织有关部门建设和配置下列森林防火设施、设备：</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（一）森林防火视频监控系统、森林火险天气监测系统、了望台、隔离带、警示标志和宣传牌；</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（二）森林防火通道；</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（三）森林防火交通运输工具、灭火机具；</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（四）森林防火通讯网络；</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（五）其他森林防火设施、设备。</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前款规定的森林防火设施、设备，任何单位和个人不得破坏或者非法占用。</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第十三条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各级人民政府应当加强森林防火宣传教育工作，组织开展森林防火宣传教育活动。每年十一月为本市的森林防火宣传月。</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教育部门及学校应当加强对学生森林防火知识的普及教育工作。</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第十四条</w:t>
      </w:r>
      <w:r>
        <w:rPr>
          <w:rFonts w:ascii="黑体" w:hAnsi="Verdana" w:eastAsia="黑体" w:cs="宋体"/>
          <w:kern w:val="0"/>
          <w:sz w:val="32"/>
          <w:szCs w:val="18"/>
        </w:rPr>
        <w:t xml:space="preserve"> </w:t>
      </w:r>
      <w:r>
        <w:rPr>
          <w:rFonts w:hint="eastAsia" w:ascii="Verdana" w:hAnsi="Verdana" w:eastAsia="仿宋_GB2312" w:cs="宋体"/>
          <w:kern w:val="0"/>
          <w:sz w:val="32"/>
          <w:szCs w:val="18"/>
        </w:rPr>
        <w:t>在各级森林火险区内从事野营、登山、祭奠、庙会等活动的，应当遵守有关森林防火管理规定，并服从森林经营管理者的防火安全要求。</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第十五条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输电线路的管理单位应当定期对穿越森林的输电线路进行安全检测检修，防止因输电线路故障引发森林火灾。</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第十六条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禁止在一、二级森林火险区内新开设墓地。</w:t>
      </w:r>
    </w:p>
    <w:p>
      <w:pPr>
        <w:widowControl/>
        <w:spacing w:line="520" w:lineRule="exact"/>
        <w:ind w:firstLine="200"/>
        <w:rPr>
          <w:rFonts w:ascii="Verdana" w:hAnsi="Verdana" w:eastAsia="仿宋_GB2312" w:cs="宋体"/>
          <w:kern w:val="0"/>
          <w:sz w:val="32"/>
          <w:szCs w:val="18"/>
        </w:rPr>
      </w:pPr>
      <w:r>
        <w:rPr>
          <w:rFonts w:hint="eastAsia" w:ascii="Verdana" w:hAnsi="Verdana" w:eastAsia="仿宋_GB2312" w:cs="宋体"/>
          <w:kern w:val="0"/>
          <w:sz w:val="32"/>
          <w:szCs w:val="18"/>
        </w:rPr>
        <w:t>区（市）人民政府应当根据居民点的分布情况，统一规划，组织设置公益性墓地。</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一、二级森林火险区内已有的坟墓应当逐步迁出；尚未迁出的，镇人民政府（街道办事处）应当组织村（社区）设置统一的祭奠场所和设施，并确定人员负责防火安全管理。</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第十七条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森林经营管理者应当履行下列义务：</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（一）按照规定配置森林防火设施、设备，定期进行检验、维修，并适时更新；</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（二）进行森林防火检查，消除森林火灾隐患，扑救森林火灾；</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（三）建立健全扑火安全教育和培训制度；</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（四）对进入管理区域的单位和个人进行森林防火宣传。</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经区（市）人民政府或者其授权的林业、园林行政主管部门批准，森林经营管理者可以在进入一级森林火险区的主要路口设置森林防火检查站。森林防火检查站可以对进入一级森林火险区的车辆、人员进行防火检查，并留置火种和易燃易爆物品。有关人员应当配合。</w:t>
      </w:r>
    </w:p>
    <w:p>
      <w:pPr>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第十八条</w:t>
      </w:r>
      <w:r>
        <w:rPr>
          <w:rFonts w:ascii="Verdana" w:hAnsi="Verdana" w:eastAsia="仿宋_GB2312"/>
          <w:sz w:val="32"/>
          <w:szCs w:val="24"/>
        </w:rPr>
        <w:t xml:space="preserve"> </w:t>
      </w:r>
      <w:r>
        <w:rPr>
          <w:rFonts w:hint="eastAsia" w:ascii="Verdana" w:hAnsi="Verdana" w:eastAsia="仿宋_GB2312" w:cs="宋体"/>
          <w:kern w:val="0"/>
          <w:sz w:val="32"/>
          <w:szCs w:val="18"/>
        </w:rPr>
        <w:t>本市的森林防火期为每年十一月一日至次年五月三十一日，其中二月一日至五月十日为高火险期。市、区（市）人民政府可以根据天气变化等情况，提前或者推迟本行政区域的森林防火期和高火险期，并向社会公布。</w:t>
      </w:r>
    </w:p>
    <w:p>
      <w:pPr>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防火期内，预报有高温、干旱、大风等高火险天气的，区（市）人民政府应当划定森林防火高火险区。必要时，市、区（市）人民政府可以根据需要发布命令，严禁一切野外用火，并对特定区域实行封闭管理；对可能引起森林火灾的居民生活用火应当严格管理。</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森林高火险期内，进入森林高火险区的，应当经当地区（市）人民政府批准，严格按照批准的时间、地点、范围活动，并接受当地林业、园林主管部门的监督管理。</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第十九条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在森林防火期，森林防火指挥机构、森林防火组织、森林经营管理者应当实行昼夜值班制度、岗位待命制度、报告制度、日常巡查制度、监督检查制度。</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第二十条</w:t>
      </w:r>
      <w:r>
        <w:rPr>
          <w:rFonts w:ascii="黑体" w:hAnsi="Verdana" w:eastAsia="黑体" w:cs="宋体"/>
          <w:kern w:val="0"/>
          <w:sz w:val="32"/>
          <w:szCs w:val="18"/>
        </w:rPr>
        <w:t xml:space="preserve"> </w:t>
      </w:r>
      <w:r>
        <w:rPr>
          <w:rFonts w:hint="eastAsia" w:ascii="Verdana" w:hAnsi="Verdana" w:eastAsia="仿宋_GB2312" w:cs="宋体"/>
          <w:kern w:val="0"/>
          <w:sz w:val="32"/>
          <w:szCs w:val="18"/>
        </w:rPr>
        <w:t>在森林防火期，气象部门应当做好森林火险天气监测预报工作；新闻媒体应当刊登、播出森林火险天气等级预报。</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第二十一条</w:t>
      </w:r>
      <w:r>
        <w:rPr>
          <w:rFonts w:ascii="黑体" w:hAnsi="Verdana" w:eastAsia="黑体" w:cs="宋体"/>
          <w:kern w:val="0"/>
          <w:sz w:val="32"/>
          <w:szCs w:val="18"/>
        </w:rPr>
        <w:t xml:space="preserve"> </w:t>
      </w:r>
      <w:r>
        <w:rPr>
          <w:rFonts w:hint="eastAsia" w:ascii="Verdana" w:hAnsi="Verdana" w:eastAsia="仿宋_GB2312" w:cs="宋体"/>
          <w:kern w:val="0"/>
          <w:sz w:val="32"/>
          <w:szCs w:val="18"/>
        </w:rPr>
        <w:t>森林防火期内，禁止在森林防火区野外用火。因防治病虫鼠害、冻害等特殊情况确需野外用火的，应当经区（市）人民政府批准，并按照要求采取防火措施，严防失火；需要进入森林防火区进行实弹演习、爆破等活动的，应当按照规定报有关主管部门批准，并采取必要的防火措施；因军事活动需要进入森林防火区的，按照国家规定执行。</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第二十二条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在林区依法开办工矿企业、设立旅游区或者新建开发区的，其森林防火设施应当与该建设项目同步规划、同步设计、同步施工、同步验收；在林区成片造林的，应当同时配套建设森林防火设施。</w:t>
      </w:r>
    </w:p>
    <w:p>
      <w:pPr>
        <w:widowControl/>
        <w:spacing w:line="520" w:lineRule="exact"/>
        <w:ind w:firstLine="640" w:firstLineChars="200"/>
        <w:jc w:val="left"/>
        <w:rPr>
          <w:rFonts w:ascii="Verdana" w:hAnsi="Verdana" w:eastAsia="仿宋_GB2312" w:cs="宋体"/>
          <w:kern w:val="0"/>
          <w:sz w:val="32"/>
          <w:szCs w:val="18"/>
        </w:rPr>
      </w:pPr>
      <w:r>
        <w:rPr>
          <w:rFonts w:hint="eastAsia" w:ascii="黑体" w:hAnsi="Verdana" w:eastAsia="黑体" w:cs="宋体"/>
          <w:kern w:val="0"/>
          <w:sz w:val="32"/>
          <w:szCs w:val="18"/>
        </w:rPr>
        <w:t>第二十三条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市、区（市）森林防火指挥机构应当组织有关部门对森林防火区内有关单位的森林防火组织建设、森林防火责任制落实、森林防火设施建设等情况进行检查；对检查中发现的森林火灾隐患，市、区（市）林业、园林主管部门应当及时向有关单位下达森林火灾隐患整改通知书，责令限期整改，消除隐患。</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被检查单位应当积极配合，不得阻挠、妨碍检查活动。</w:t>
      </w:r>
    </w:p>
    <w:p>
      <w:pPr>
        <w:widowControl/>
        <w:spacing w:line="520" w:lineRule="exact"/>
        <w:ind w:firstLine="640" w:firstLineChars="200"/>
        <w:jc w:val="center"/>
        <w:rPr>
          <w:rFonts w:ascii="黑体" w:hAnsi="Verdana" w:eastAsia="黑体" w:cs="宋体"/>
          <w:kern w:val="0"/>
          <w:sz w:val="32"/>
          <w:szCs w:val="18"/>
        </w:rPr>
      </w:pPr>
    </w:p>
    <w:p>
      <w:pPr>
        <w:widowControl/>
        <w:numPr>
          <w:ilvl w:val="0"/>
          <w:numId w:val="1"/>
        </w:numPr>
        <w:spacing w:line="520" w:lineRule="exact"/>
        <w:jc w:val="center"/>
        <w:rPr>
          <w:rFonts w:ascii="黑体" w:hAnsi="Verdana" w:eastAsia="黑体" w:cs="宋体"/>
          <w:kern w:val="0"/>
          <w:sz w:val="32"/>
          <w:szCs w:val="18"/>
        </w:rPr>
      </w:pPr>
      <w:r>
        <w:rPr>
          <w:rFonts w:hint="eastAsia" w:ascii="黑体" w:hAnsi="Verdana" w:eastAsia="黑体" w:cs="宋体"/>
          <w:kern w:val="0"/>
          <w:sz w:val="32"/>
          <w:szCs w:val="18"/>
        </w:rPr>
        <w:t>森林火灾扑救</w:t>
      </w:r>
    </w:p>
    <w:p>
      <w:pPr>
        <w:widowControl/>
        <w:spacing w:line="520" w:lineRule="exact"/>
        <w:jc w:val="center"/>
        <w:rPr>
          <w:rFonts w:hint="eastAsia" w:ascii="黑体" w:hAnsi="Verdana" w:eastAsia="黑体" w:cs="宋体"/>
          <w:kern w:val="0"/>
          <w:sz w:val="32"/>
          <w:szCs w:val="18"/>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第二十四条</w:t>
      </w:r>
      <w:r>
        <w:rPr>
          <w:rFonts w:ascii="黑体" w:hAnsi="Verdana" w:eastAsia="黑体" w:cs="宋体"/>
          <w:kern w:val="0"/>
          <w:sz w:val="32"/>
          <w:szCs w:val="18"/>
        </w:rPr>
        <w:t xml:space="preserve"> </w:t>
      </w:r>
      <w:r>
        <w:rPr>
          <w:rFonts w:hint="eastAsia" w:ascii="Verdana" w:hAnsi="Verdana" w:eastAsia="仿宋_GB2312" w:cs="宋体"/>
          <w:kern w:val="0"/>
          <w:sz w:val="32"/>
          <w:szCs w:val="18"/>
        </w:rPr>
        <w:t>任何单位和个人发现森林火灾，应当立即向当地人民政府或者林业、园林、公安等有关部门报告。接到森林火灾报告的部门应当立即报告当地森林防火指挥机构。当地森林防火指挥机构应当按照有关规定逐级上报。</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森林经营管理者发现火灾后，应当立即组织扑救，并同时报告有关部门。</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第二十五条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森林防火指挥机构接到森林火灾报告后，应当立即派员赶赴现场，组织扑救，并根据火情适时启动森林火灾扑救预案。接到森林火灾扑救命令的单位和个人，应当在限定时间内赶到指定地点投入扑救。</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严禁组织动员孕妇、残疾人、未成年人和老年人扑救森林火灾。</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第二十六条</w:t>
      </w:r>
      <w:r>
        <w:rPr>
          <w:rFonts w:ascii="黑体" w:hAnsi="Verdana" w:eastAsia="黑体" w:cs="宋体"/>
          <w:kern w:val="0"/>
          <w:sz w:val="32"/>
          <w:szCs w:val="18"/>
        </w:rPr>
        <w:t xml:space="preserve"> </w:t>
      </w:r>
      <w:r>
        <w:rPr>
          <w:rFonts w:hint="eastAsia" w:ascii="Verdana" w:hAnsi="Verdana" w:eastAsia="仿宋_GB2312" w:cs="宋体"/>
          <w:kern w:val="0"/>
          <w:sz w:val="32"/>
          <w:szCs w:val="18"/>
        </w:rPr>
        <w:t>森林火灾扑灭后，火灾现场的指挥人员应当组织对火灾现场进行全面检查，彻底清除余火，确保无复燃隐患后，方可撤离。</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第二十七条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森林火灾发生后，当地森林防火指挥机构应当及时组织进行森林火灾情况调查。调查的主要内容包括：</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（一）火灾发生的时间、地点；</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（二）起火原因、肇事者及有关责任；</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（三）扑救经过、人员伤亡及物资消耗情况；</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（四）受害面积、林木数量、价值和其他经济损失核算；</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（五）火灾对生态环境的影响；</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（六）森林火灾的等级；</w:t>
      </w:r>
    </w:p>
    <w:p>
      <w:pPr>
        <w:widowControl/>
        <w:spacing w:line="520" w:lineRule="exact"/>
        <w:ind w:firstLine="480" w:firstLineChars="150"/>
        <w:rPr>
          <w:rFonts w:ascii="Verdana" w:hAnsi="Verdana" w:eastAsia="仿宋_GB2312" w:cs="宋体"/>
          <w:kern w:val="0"/>
          <w:sz w:val="32"/>
          <w:szCs w:val="18"/>
        </w:rPr>
      </w:pPr>
      <w:r>
        <w:rPr>
          <w:rFonts w:hint="eastAsia" w:ascii="Verdana" w:hAnsi="Verdana" w:eastAsia="仿宋_GB2312" w:cs="宋体"/>
          <w:kern w:val="0"/>
          <w:sz w:val="32"/>
          <w:szCs w:val="18"/>
        </w:rPr>
        <w:t>（七）其他应当调查的情况。</w:t>
      </w:r>
    </w:p>
    <w:p>
      <w:pPr>
        <w:widowControl/>
        <w:spacing w:line="520" w:lineRule="exact"/>
        <w:ind w:firstLine="640" w:firstLineChars="200"/>
        <w:rPr>
          <w:rFonts w:ascii="Verdana" w:hAnsi="Verdana" w:eastAsia="仿宋_GB2312" w:cs="宋体"/>
          <w:kern w:val="0"/>
          <w:sz w:val="32"/>
          <w:szCs w:val="18"/>
        </w:rPr>
      </w:pPr>
      <w:r>
        <w:rPr>
          <w:rFonts w:hint="eastAsia" w:ascii="Verdana" w:hAnsi="Verdana" w:eastAsia="仿宋_GB2312" w:cs="宋体"/>
          <w:kern w:val="0"/>
          <w:sz w:val="32"/>
          <w:szCs w:val="18"/>
        </w:rPr>
        <w:t>调查结果应当书面报告市森林防火指挥机构。</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第二十八条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森林火灾信息应当经市森林防火指挥机构办公室核实后方可发布。</w:t>
      </w:r>
    </w:p>
    <w:p>
      <w:pPr>
        <w:widowControl/>
        <w:spacing w:line="520" w:lineRule="exact"/>
        <w:ind w:firstLine="640" w:firstLineChars="200"/>
        <w:jc w:val="center"/>
        <w:rPr>
          <w:rFonts w:ascii="黑体" w:hAnsi="Verdana" w:eastAsia="黑体" w:cs="宋体"/>
          <w:kern w:val="0"/>
          <w:sz w:val="32"/>
          <w:szCs w:val="18"/>
        </w:rPr>
      </w:pPr>
    </w:p>
    <w:p>
      <w:pPr>
        <w:widowControl/>
        <w:numPr>
          <w:ilvl w:val="0"/>
          <w:numId w:val="1"/>
        </w:numPr>
        <w:spacing w:line="520" w:lineRule="exact"/>
        <w:jc w:val="center"/>
        <w:rPr>
          <w:rFonts w:ascii="黑体" w:hAnsi="Verdana" w:eastAsia="黑体" w:cs="宋体"/>
          <w:kern w:val="0"/>
          <w:sz w:val="32"/>
          <w:szCs w:val="18"/>
        </w:rPr>
      </w:pPr>
      <w:r>
        <w:rPr>
          <w:rFonts w:hint="eastAsia" w:ascii="黑体" w:hAnsi="Verdana" w:eastAsia="黑体" w:cs="宋体"/>
          <w:kern w:val="0"/>
          <w:sz w:val="32"/>
          <w:szCs w:val="18"/>
        </w:rPr>
        <w:t>奖励与处罚</w:t>
      </w:r>
    </w:p>
    <w:p>
      <w:pPr>
        <w:widowControl/>
        <w:spacing w:line="520" w:lineRule="exact"/>
        <w:jc w:val="center"/>
        <w:rPr>
          <w:rFonts w:hint="eastAsia" w:ascii="黑体" w:hAnsi="Verdana" w:eastAsia="黑体" w:cs="宋体"/>
          <w:kern w:val="0"/>
          <w:sz w:val="32"/>
          <w:szCs w:val="18"/>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第二十九条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对在森林防火工作中做出突出贡献的单位和个人，由市、区（市）人民政府给予表彰奖励。</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第三十条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违反森林防火有关规定，依照国务院《森林防火条例》应当处罚的，由林业、园林等主管部门依法予以处罚。</w:t>
      </w: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第三十一条</w:t>
      </w:r>
      <w:r>
        <w:rPr>
          <w:rFonts w:ascii="Verdana" w:hAnsi="Verdana" w:eastAsia="仿宋_GB2312" w:cs="宋体"/>
          <w:kern w:val="0"/>
          <w:sz w:val="32"/>
          <w:szCs w:val="18"/>
        </w:rPr>
        <w:t xml:space="preserve"> </w:t>
      </w:r>
      <w:r>
        <w:rPr>
          <w:rFonts w:hint="eastAsia" w:ascii="Verdana" w:hAnsi="Verdana" w:eastAsia="仿宋_GB2312" w:cs="宋体"/>
          <w:kern w:val="0"/>
          <w:sz w:val="32"/>
          <w:szCs w:val="18"/>
        </w:rPr>
        <w:t>行政机关工作人员在森林防火工作中滥用职权、玩忽职守、徇私舞弊的，由有关部门依法给予行政处分；构成犯罪的，依法追究刑事责任。</w:t>
      </w:r>
    </w:p>
    <w:p>
      <w:pPr>
        <w:widowControl/>
        <w:spacing w:line="520" w:lineRule="exact"/>
        <w:ind w:firstLine="640" w:firstLineChars="200"/>
        <w:jc w:val="center"/>
        <w:rPr>
          <w:rFonts w:ascii="黑体" w:hAnsi="Verdana" w:eastAsia="黑体" w:cs="宋体"/>
          <w:kern w:val="0"/>
          <w:sz w:val="32"/>
          <w:szCs w:val="18"/>
        </w:rPr>
      </w:pPr>
    </w:p>
    <w:p>
      <w:pPr>
        <w:widowControl/>
        <w:numPr>
          <w:ilvl w:val="0"/>
          <w:numId w:val="1"/>
        </w:numPr>
        <w:spacing w:line="520" w:lineRule="exact"/>
        <w:jc w:val="center"/>
        <w:rPr>
          <w:rFonts w:ascii="黑体" w:hAnsi="Verdana" w:eastAsia="黑体" w:cs="宋体"/>
          <w:kern w:val="0"/>
          <w:sz w:val="32"/>
          <w:szCs w:val="18"/>
        </w:rPr>
      </w:pPr>
      <w:r>
        <w:rPr>
          <w:rFonts w:hint="eastAsia" w:ascii="黑体" w:hAnsi="Verdana" w:eastAsia="黑体" w:cs="宋体"/>
          <w:kern w:val="0"/>
          <w:sz w:val="32"/>
          <w:szCs w:val="18"/>
        </w:rPr>
        <w:t>附则</w:t>
      </w:r>
    </w:p>
    <w:p>
      <w:pPr>
        <w:widowControl/>
        <w:spacing w:line="520" w:lineRule="exact"/>
        <w:jc w:val="center"/>
        <w:rPr>
          <w:rFonts w:hint="eastAsia" w:ascii="黑体" w:hAnsi="Verdana" w:eastAsia="黑体" w:cs="宋体"/>
          <w:kern w:val="0"/>
          <w:sz w:val="32"/>
          <w:szCs w:val="18"/>
        </w:rPr>
      </w:pPr>
    </w:p>
    <w:p>
      <w:pPr>
        <w:widowControl/>
        <w:spacing w:line="520" w:lineRule="exact"/>
        <w:ind w:firstLine="640" w:firstLineChars="200"/>
        <w:rPr>
          <w:rFonts w:ascii="Verdana" w:hAnsi="Verdana" w:eastAsia="仿宋_GB2312" w:cs="宋体"/>
          <w:kern w:val="0"/>
          <w:sz w:val="32"/>
          <w:szCs w:val="18"/>
        </w:rPr>
      </w:pPr>
      <w:r>
        <w:rPr>
          <w:rFonts w:hint="eastAsia" w:ascii="黑体" w:hAnsi="Verdana" w:eastAsia="黑体" w:cs="宋体"/>
          <w:kern w:val="0"/>
          <w:sz w:val="32"/>
          <w:szCs w:val="18"/>
        </w:rPr>
        <w:t>第三十二条</w:t>
      </w:r>
      <w:r>
        <w:rPr>
          <w:rFonts w:ascii="黑体" w:hAnsi="Verdana" w:eastAsia="黑体" w:cs="宋体"/>
          <w:kern w:val="0"/>
          <w:sz w:val="32"/>
          <w:szCs w:val="18"/>
        </w:rPr>
        <w:t xml:space="preserve"> </w:t>
      </w:r>
      <w:r>
        <w:rPr>
          <w:rFonts w:hint="eastAsia" w:ascii="Verdana" w:hAnsi="Verdana" w:eastAsia="仿宋_GB2312" w:cs="宋体"/>
          <w:kern w:val="0"/>
          <w:sz w:val="32"/>
          <w:szCs w:val="18"/>
        </w:rPr>
        <w:t>本条例自</w:t>
      </w:r>
      <w:r>
        <w:rPr>
          <w:rFonts w:ascii="仿宋_GB2312" w:hAnsi="Verdana" w:eastAsia="仿宋_GB2312" w:cs="宋体"/>
          <w:kern w:val="0"/>
          <w:sz w:val="32"/>
          <w:szCs w:val="18"/>
        </w:rPr>
        <w:t>2007</w:t>
      </w:r>
      <w:r>
        <w:rPr>
          <w:rFonts w:hint="eastAsia" w:ascii="仿宋_GB2312" w:hAnsi="Verdana" w:eastAsia="仿宋_GB2312" w:cs="宋体"/>
          <w:kern w:val="0"/>
          <w:sz w:val="32"/>
          <w:szCs w:val="18"/>
        </w:rPr>
        <w:t>年</w:t>
      </w:r>
      <w:r>
        <w:rPr>
          <w:rFonts w:ascii="仿宋_GB2312" w:hAnsi="Verdana" w:eastAsia="仿宋_GB2312" w:cs="宋体"/>
          <w:kern w:val="0"/>
          <w:sz w:val="32"/>
          <w:szCs w:val="18"/>
        </w:rPr>
        <w:t>1</w:t>
      </w:r>
      <w:r>
        <w:rPr>
          <w:rFonts w:hint="eastAsia" w:ascii="仿宋_GB2312" w:hAnsi="Verdana" w:eastAsia="仿宋_GB2312" w:cs="宋体"/>
          <w:kern w:val="0"/>
          <w:sz w:val="32"/>
          <w:szCs w:val="18"/>
        </w:rPr>
        <w:t>月</w:t>
      </w:r>
      <w:r>
        <w:rPr>
          <w:rFonts w:ascii="仿宋_GB2312" w:hAnsi="Verdana" w:eastAsia="仿宋_GB2312" w:cs="宋体"/>
          <w:kern w:val="0"/>
          <w:sz w:val="32"/>
          <w:szCs w:val="18"/>
        </w:rPr>
        <w:t>1</w:t>
      </w:r>
      <w:r>
        <w:rPr>
          <w:rFonts w:hint="eastAsia" w:ascii="仿宋_GB2312" w:hAnsi="Verdana" w:eastAsia="仿宋_GB2312" w:cs="宋体"/>
          <w:kern w:val="0"/>
          <w:sz w:val="32"/>
          <w:szCs w:val="18"/>
        </w:rPr>
        <w:t>日起施行。</w:t>
      </w:r>
      <w:r>
        <w:rPr>
          <w:rFonts w:ascii="仿宋_GB2312" w:hAnsi="Verdana" w:eastAsia="仿宋_GB2312" w:cs="宋体"/>
          <w:kern w:val="0"/>
          <w:sz w:val="32"/>
          <w:szCs w:val="18"/>
        </w:rPr>
        <w:t>1996</w:t>
      </w:r>
      <w:r>
        <w:rPr>
          <w:rFonts w:hint="eastAsia" w:ascii="仿宋_GB2312" w:hAnsi="Verdana" w:eastAsia="仿宋_GB2312" w:cs="宋体"/>
          <w:kern w:val="0"/>
          <w:sz w:val="32"/>
          <w:szCs w:val="18"/>
        </w:rPr>
        <w:t>年</w:t>
      </w:r>
      <w:r>
        <w:rPr>
          <w:rFonts w:ascii="仿宋_GB2312" w:hAnsi="Verdana" w:eastAsia="仿宋_GB2312" w:cs="宋体"/>
          <w:kern w:val="0"/>
          <w:sz w:val="32"/>
          <w:szCs w:val="18"/>
        </w:rPr>
        <w:t>12</w:t>
      </w:r>
      <w:r>
        <w:rPr>
          <w:rFonts w:hint="eastAsia" w:ascii="仿宋_GB2312" w:hAnsi="Verdana" w:eastAsia="仿宋_GB2312" w:cs="宋体"/>
          <w:kern w:val="0"/>
          <w:sz w:val="32"/>
          <w:szCs w:val="18"/>
        </w:rPr>
        <w:t>月</w:t>
      </w:r>
      <w:r>
        <w:rPr>
          <w:rFonts w:ascii="仿宋_GB2312" w:hAnsi="Verdana" w:eastAsia="仿宋_GB2312" w:cs="宋体"/>
          <w:kern w:val="0"/>
          <w:sz w:val="32"/>
          <w:szCs w:val="18"/>
        </w:rPr>
        <w:t>14</w:t>
      </w:r>
      <w:r>
        <w:rPr>
          <w:rFonts w:hint="eastAsia" w:ascii="仿宋_GB2312" w:hAnsi="Verdana" w:eastAsia="仿宋_GB2312" w:cs="宋体"/>
          <w:kern w:val="0"/>
          <w:sz w:val="32"/>
          <w:szCs w:val="18"/>
        </w:rPr>
        <w:t>日市人民代表大会常务委员会</w:t>
      </w:r>
      <w:r>
        <w:rPr>
          <w:rFonts w:hint="eastAsia" w:ascii="Verdana" w:hAnsi="Verdana" w:eastAsia="仿宋_GB2312" w:cs="宋体"/>
          <w:kern w:val="0"/>
          <w:sz w:val="32"/>
          <w:szCs w:val="18"/>
        </w:rPr>
        <w:t>公布的《青岛市林地防火条例》同时废止。</w:t>
      </w:r>
    </w:p>
    <w:p>
      <w:pPr>
        <w:widowControl/>
        <w:spacing w:line="520" w:lineRule="exact"/>
        <w:ind w:firstLine="640" w:firstLineChars="200"/>
        <w:rPr>
          <w:rFonts w:ascii="Verdana" w:hAnsi="Verdana" w:eastAsia="仿宋_GB2312" w:cs="宋体"/>
          <w:kern w:val="0"/>
          <w:sz w:val="32"/>
          <w:szCs w:val="18"/>
        </w:rPr>
      </w:pPr>
    </w:p>
    <w:p>
      <w:pPr>
        <w:widowControl/>
        <w:spacing w:line="520" w:lineRule="exact"/>
        <w:ind w:firstLine="640" w:firstLineChars="200"/>
        <w:rPr>
          <w:rFonts w:ascii="Verdana" w:hAnsi="Verdana" w:eastAsia="仿宋_GB2312" w:cs="宋体"/>
          <w:kern w:val="0"/>
          <w:sz w:val="32"/>
          <w:szCs w:val="18"/>
        </w:rPr>
      </w:pPr>
    </w:p>
    <w:p>
      <w:pPr>
        <w:widowControl/>
        <w:spacing w:line="540" w:lineRule="exact"/>
        <w:ind w:firstLine="640" w:firstLineChars="200"/>
        <w:rPr>
          <w:rFonts w:ascii="Verdana" w:hAnsi="Verdana" w:eastAsia="仿宋_GB2312" w:cs="宋体"/>
          <w:kern w:val="0"/>
          <w:sz w:val="32"/>
          <w:szCs w:val="18"/>
        </w:rPr>
      </w:pPr>
    </w:p>
    <w:p>
      <w:pPr>
        <w:widowControl/>
        <w:spacing w:line="540" w:lineRule="exact"/>
        <w:ind w:firstLine="640" w:firstLineChars="200"/>
        <w:rPr>
          <w:rFonts w:ascii="Verdana" w:hAnsi="Verdana" w:eastAsia="仿宋_GB2312" w:cs="宋体"/>
          <w:kern w:val="0"/>
          <w:sz w:val="32"/>
          <w:szCs w:val="18"/>
        </w:rPr>
      </w:pPr>
    </w:p>
    <w:p>
      <w:pPr>
        <w:widowControl/>
        <w:spacing w:line="540" w:lineRule="exact"/>
        <w:ind w:firstLine="640" w:firstLineChars="200"/>
        <w:rPr>
          <w:rFonts w:ascii="Verdana" w:hAnsi="Verdana" w:eastAsia="仿宋_GB2312" w:cs="宋体"/>
          <w:kern w:val="0"/>
          <w:sz w:val="32"/>
          <w:szCs w:val="18"/>
        </w:rPr>
      </w:pPr>
    </w:p>
    <w:p>
      <w:pPr>
        <w:widowControl/>
        <w:spacing w:line="540" w:lineRule="exact"/>
        <w:ind w:firstLine="640" w:firstLineChars="200"/>
        <w:rPr>
          <w:rFonts w:ascii="Verdana" w:hAnsi="Verdana" w:eastAsia="仿宋_GB2312" w:cs="宋体"/>
          <w:kern w:val="0"/>
          <w:sz w:val="32"/>
          <w:szCs w:val="18"/>
        </w:rPr>
      </w:pPr>
    </w:p>
    <w:p>
      <w:pPr>
        <w:widowControl/>
        <w:spacing w:line="540" w:lineRule="exact"/>
        <w:ind w:firstLine="640" w:firstLineChars="200"/>
        <w:rPr>
          <w:rFonts w:ascii="Verdana" w:hAnsi="Verdana" w:eastAsia="仿宋_GB2312" w:cs="宋体"/>
          <w:kern w:val="0"/>
          <w:sz w:val="32"/>
          <w:szCs w:val="18"/>
        </w:rPr>
      </w:pPr>
    </w:p>
    <w:p>
      <w:pPr>
        <w:widowControl/>
        <w:spacing w:line="540" w:lineRule="exact"/>
        <w:jc w:val="center"/>
        <w:rPr>
          <w:rFonts w:ascii="黑体" w:hAnsi="宋体" w:eastAsia="黑体" w:cs="Courier New"/>
          <w:kern w:val="0"/>
          <w:sz w:val="32"/>
          <w:szCs w:val="32"/>
        </w:rPr>
      </w:pPr>
    </w:p>
    <w:p>
      <w:pPr>
        <w:widowControl/>
        <w:spacing w:line="540" w:lineRule="exact"/>
        <w:jc w:val="center"/>
        <w:rPr>
          <w:rFonts w:ascii="黑体" w:hAnsi="宋体" w:eastAsia="黑体" w:cs="Courier New"/>
          <w:kern w:val="0"/>
          <w:sz w:val="32"/>
          <w:szCs w:val="32"/>
        </w:rPr>
      </w:pPr>
    </w:p>
    <w:p>
      <w:pPr>
        <w:widowControl/>
        <w:spacing w:line="540" w:lineRule="exact"/>
        <w:jc w:val="center"/>
        <w:rPr>
          <w:rFonts w:ascii="黑体" w:hAnsi="宋体" w:eastAsia="黑体" w:cs="Courier New"/>
          <w:kern w:val="0"/>
          <w:sz w:val="32"/>
          <w:szCs w:val="32"/>
        </w:rPr>
      </w:pPr>
    </w:p>
    <w:p>
      <w:pPr>
        <w:widowControl/>
        <w:spacing w:line="540" w:lineRule="exact"/>
        <w:jc w:val="center"/>
        <w:rPr>
          <w:rFonts w:ascii="黑体" w:hAnsi="宋体" w:eastAsia="黑体" w:cs="Courier New"/>
          <w:kern w:val="0"/>
          <w:sz w:val="32"/>
          <w:szCs w:val="32"/>
        </w:rPr>
      </w:pPr>
    </w:p>
    <w:p>
      <w:pPr>
        <w:widowControl/>
        <w:spacing w:line="540" w:lineRule="exact"/>
        <w:jc w:val="center"/>
        <w:rPr>
          <w:rFonts w:ascii="黑体" w:hAnsi="宋体" w:eastAsia="黑体" w:cs="Courier New"/>
          <w:kern w:val="0"/>
          <w:sz w:val="32"/>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C5180"/>
    <w:multiLevelType w:val="multilevel"/>
    <w:tmpl w:val="260C5180"/>
    <w:lvl w:ilvl="0" w:tentative="0">
      <w:start w:val="1"/>
      <w:numFmt w:val="japaneseCounting"/>
      <w:lvlText w:val="第%1章"/>
      <w:lvlJc w:val="left"/>
      <w:pPr>
        <w:ind w:left="1925" w:hanging="1125"/>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108D5"/>
    <w:rsid w:val="215108D5"/>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2019-01-18T07:02:00Z</dcterms:created>
  <dc:creator>xx</dc:creator>
  <cp:lastModifiedBy>xx</cp:lastModifiedBy>
  <dcterms:modified xsi:type="dcterms:W3CDTF">2019-01-18T07:03:36Z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