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黑体" w:hAnsi="宋体" w:eastAsia="黑体" w:cs="Courier New"/>
          <w:kern w:val="0"/>
          <w:sz w:val="32"/>
          <w:szCs w:val="32"/>
        </w:rPr>
      </w:pPr>
    </w:p>
    <w:p>
      <w:pPr>
        <w:widowControl/>
        <w:spacing w:line="500" w:lineRule="exact"/>
        <w:jc w:val="center"/>
        <w:rPr>
          <w:rFonts w:ascii="黑体" w:hAnsi="宋体" w:eastAsia="黑体" w:cs="Courier New"/>
          <w:kern w:val="0"/>
          <w:sz w:val="32"/>
          <w:szCs w:val="32"/>
        </w:rPr>
      </w:pPr>
    </w:p>
    <w:p>
      <w:pPr>
        <w:widowControl/>
        <w:spacing w:line="500" w:lineRule="exact"/>
        <w:jc w:val="center"/>
        <w:rPr>
          <w:rFonts w:ascii="宋体" w:hAnsi="宋体" w:cs="Courier New"/>
          <w:kern w:val="0"/>
          <w:sz w:val="44"/>
          <w:szCs w:val="44"/>
        </w:rPr>
      </w:pPr>
      <w:r>
        <w:rPr>
          <w:rFonts w:hint="eastAsia" w:ascii="宋体" w:hAnsi="宋体" w:cs="Courier New"/>
          <w:kern w:val="0"/>
          <w:sz w:val="44"/>
          <w:szCs w:val="44"/>
        </w:rPr>
        <w:t>青岛市畜禽屠宰管理条例</w:t>
      </w:r>
    </w:p>
    <w:p>
      <w:pPr>
        <w:widowControl/>
        <w:spacing w:line="500" w:lineRule="exact"/>
        <w:jc w:val="center"/>
        <w:rPr>
          <w:rFonts w:ascii="黑体" w:hAnsi="宋体" w:eastAsia="黑体" w:cs="Courier New"/>
          <w:kern w:val="0"/>
          <w:sz w:val="32"/>
          <w:szCs w:val="32"/>
        </w:rPr>
      </w:pP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（2007年8月29日青岛市第十三届人民代表大会常务</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委员会第三十八次会议通过  2007年9月21日山东省</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 xml:space="preserve">第十届人民代表大会常务委员会第三十次会议批准  </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2007年9月21日青岛市人民代表大会常务委员会公告</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公布 自2007年11月1日起施行根据2018年9月7日</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青岛市第十六届人民代表大会常务委员会第十一次会议</w:t>
      </w:r>
    </w:p>
    <w:p>
      <w:pPr>
        <w:widowControl/>
        <w:spacing w:line="500" w:lineRule="exact"/>
        <w:ind w:firstLine="645"/>
        <w:rPr>
          <w:rFonts w:hint="eastAsia" w:ascii="楷体_GB2312" w:hAnsi="宋体" w:eastAsia="楷体_GB2312" w:cs="Courier New"/>
          <w:spacing w:val="-6"/>
          <w:kern w:val="0"/>
          <w:sz w:val="32"/>
          <w:szCs w:val="32"/>
        </w:rPr>
      </w:pPr>
      <w:r>
        <w:rPr>
          <w:rFonts w:hint="eastAsia" w:ascii="楷体_GB2312" w:hAnsi="宋体" w:eastAsia="楷体_GB2312" w:cs="Courier New"/>
          <w:spacing w:val="-6"/>
          <w:kern w:val="0"/>
          <w:sz w:val="32"/>
          <w:szCs w:val="32"/>
        </w:rPr>
        <w:t>《关于修改〈青岛市环境噪声管理规定〉等十九件地方性</w:t>
      </w:r>
    </w:p>
    <w:p>
      <w:pPr>
        <w:widowControl/>
        <w:spacing w:line="50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法规的决定》修正）</w:t>
      </w:r>
    </w:p>
    <w:p>
      <w:pPr>
        <w:widowControl/>
        <w:spacing w:line="500" w:lineRule="exact"/>
        <w:ind w:firstLine="645"/>
        <w:rPr>
          <w:rFonts w:ascii="仿宋_GB2312" w:hAnsi="宋体" w:eastAsia="仿宋_GB2312" w:cs="Courier New"/>
          <w:kern w:val="0"/>
          <w:sz w:val="32"/>
          <w:szCs w:val="32"/>
        </w:rPr>
      </w:pPr>
    </w:p>
    <w:p>
      <w:pPr>
        <w:widowControl/>
        <w:spacing w:line="500" w:lineRule="exact"/>
        <w:jc w:val="center"/>
        <w:rPr>
          <w:rFonts w:ascii="楷体_GB2312" w:hAnsi="宋体" w:eastAsia="楷体_GB2312" w:cs="Courier New"/>
          <w:kern w:val="0"/>
          <w:sz w:val="32"/>
          <w:szCs w:val="32"/>
        </w:rPr>
      </w:pPr>
      <w:r>
        <w:rPr>
          <w:rFonts w:hint="eastAsia" w:ascii="楷体_GB2312" w:hAnsi="宋体" w:eastAsia="楷体_GB2312" w:cs="Courier New"/>
          <w:kern w:val="0"/>
          <w:sz w:val="32"/>
          <w:szCs w:val="32"/>
        </w:rPr>
        <w:t>目</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录</w:t>
      </w:r>
    </w:p>
    <w:p>
      <w:pPr>
        <w:widowControl/>
        <w:numPr>
          <w:ilvl w:val="0"/>
          <w:numId w:val="1"/>
        </w:numPr>
        <w:spacing w:line="500" w:lineRule="exact"/>
        <w:rPr>
          <w:rFonts w:ascii="楷体_GB2312" w:hAnsi="宋体" w:eastAsia="楷体_GB2312" w:cs="Courier New"/>
          <w:kern w:val="0"/>
          <w:sz w:val="32"/>
          <w:szCs w:val="32"/>
        </w:rPr>
      </w:pPr>
      <w:r>
        <w:rPr>
          <w:rFonts w:hint="eastAsia" w:ascii="楷体_GB2312" w:hAnsi="宋体" w:eastAsia="楷体_GB2312" w:cs="Courier New"/>
          <w:kern w:val="0"/>
          <w:sz w:val="32"/>
          <w:szCs w:val="32"/>
        </w:rPr>
        <w:t>总则</w:t>
      </w:r>
    </w:p>
    <w:p>
      <w:pPr>
        <w:widowControl/>
        <w:numPr>
          <w:ilvl w:val="0"/>
          <w:numId w:val="1"/>
        </w:numPr>
        <w:spacing w:line="500" w:lineRule="exact"/>
        <w:jc w:val="left"/>
        <w:rPr>
          <w:rFonts w:ascii="楷体_GB2312" w:hAnsi="黑体" w:eastAsia="楷体_GB2312" w:cs="黑体"/>
          <w:kern w:val="0"/>
          <w:sz w:val="32"/>
          <w:szCs w:val="32"/>
        </w:rPr>
      </w:pPr>
      <w:r>
        <w:rPr>
          <w:rFonts w:hint="eastAsia" w:ascii="楷体_GB2312" w:hAnsi="黑体" w:eastAsia="楷体_GB2312" w:cs="黑体"/>
          <w:kern w:val="0"/>
          <w:sz w:val="32"/>
          <w:szCs w:val="32"/>
        </w:rPr>
        <w:t>畜禽屠宰厂的设立</w:t>
      </w:r>
    </w:p>
    <w:p>
      <w:pPr>
        <w:widowControl/>
        <w:numPr>
          <w:ilvl w:val="0"/>
          <w:numId w:val="1"/>
        </w:numPr>
        <w:spacing w:line="500" w:lineRule="exact"/>
        <w:jc w:val="left"/>
        <w:rPr>
          <w:rFonts w:ascii="楷体_GB2312" w:hAnsi="黑体" w:eastAsia="楷体_GB2312" w:cs="黑体"/>
          <w:kern w:val="0"/>
          <w:sz w:val="32"/>
          <w:szCs w:val="32"/>
        </w:rPr>
      </w:pPr>
      <w:r>
        <w:rPr>
          <w:rFonts w:hint="eastAsia" w:ascii="楷体_GB2312" w:hAnsi="黑体" w:eastAsia="楷体_GB2312" w:cs="黑体"/>
          <w:kern w:val="0"/>
          <w:sz w:val="32"/>
          <w:szCs w:val="32"/>
        </w:rPr>
        <w:t>畜禽屠宰</w:t>
      </w:r>
    </w:p>
    <w:p>
      <w:pPr>
        <w:widowControl/>
        <w:spacing w:line="500" w:lineRule="exact"/>
        <w:ind w:firstLine="480" w:firstLineChars="150"/>
        <w:jc w:val="left"/>
        <w:rPr>
          <w:rFonts w:ascii="楷体_GB2312" w:hAnsi="黑体" w:eastAsia="楷体_GB2312" w:cs="黑体"/>
          <w:kern w:val="0"/>
          <w:sz w:val="32"/>
          <w:szCs w:val="32"/>
        </w:rPr>
      </w:pPr>
      <w:r>
        <w:rPr>
          <w:rFonts w:hint="eastAsia" w:ascii="楷体_GB2312" w:hAnsi="黑体" w:eastAsia="楷体_GB2312" w:cs="黑体"/>
          <w:kern w:val="0"/>
          <w:sz w:val="32"/>
          <w:szCs w:val="32"/>
        </w:rPr>
        <w:t>第四章</w:t>
      </w:r>
      <w:r>
        <w:rPr>
          <w:rFonts w:ascii="楷体_GB2312" w:hAnsi="黑体" w:eastAsia="楷体_GB2312" w:cs="黑体"/>
          <w:kern w:val="0"/>
          <w:sz w:val="32"/>
          <w:szCs w:val="32"/>
        </w:rPr>
        <w:t xml:space="preserve">  </w:t>
      </w:r>
      <w:r>
        <w:rPr>
          <w:rFonts w:hint="eastAsia" w:ascii="楷体_GB2312" w:hAnsi="黑体" w:eastAsia="楷体_GB2312" w:cs="黑体"/>
          <w:kern w:val="0"/>
          <w:sz w:val="32"/>
          <w:szCs w:val="32"/>
        </w:rPr>
        <w:t>畜禽产品流通</w:t>
      </w:r>
    </w:p>
    <w:p>
      <w:pPr>
        <w:widowControl/>
        <w:spacing w:line="500" w:lineRule="exact"/>
        <w:ind w:firstLine="480" w:firstLineChars="150"/>
        <w:jc w:val="left"/>
        <w:rPr>
          <w:rFonts w:ascii="楷体_GB2312" w:hAnsi="黑体" w:eastAsia="楷体_GB2312" w:cs="黑体"/>
          <w:kern w:val="0"/>
          <w:sz w:val="32"/>
          <w:szCs w:val="32"/>
        </w:rPr>
      </w:pPr>
      <w:r>
        <w:rPr>
          <w:rFonts w:hint="eastAsia" w:ascii="楷体_GB2312" w:hAnsi="黑体" w:eastAsia="楷体_GB2312" w:cs="黑体"/>
          <w:kern w:val="0"/>
          <w:sz w:val="32"/>
          <w:szCs w:val="32"/>
        </w:rPr>
        <w:t>第五章</w:t>
      </w:r>
      <w:r>
        <w:rPr>
          <w:rFonts w:ascii="楷体_GB2312" w:hAnsi="黑体" w:eastAsia="楷体_GB2312" w:cs="黑体"/>
          <w:kern w:val="0"/>
          <w:sz w:val="32"/>
          <w:szCs w:val="32"/>
        </w:rPr>
        <w:t xml:space="preserve">  </w:t>
      </w:r>
      <w:r>
        <w:rPr>
          <w:rFonts w:hint="eastAsia" w:ascii="楷体_GB2312" w:hAnsi="黑体" w:eastAsia="楷体_GB2312" w:cs="黑体"/>
          <w:kern w:val="0"/>
          <w:sz w:val="32"/>
          <w:szCs w:val="32"/>
        </w:rPr>
        <w:t>法律责任</w:t>
      </w:r>
    </w:p>
    <w:p>
      <w:pPr>
        <w:widowControl/>
        <w:spacing w:line="500" w:lineRule="exact"/>
        <w:ind w:firstLine="480" w:firstLineChars="150"/>
        <w:jc w:val="left"/>
        <w:rPr>
          <w:rFonts w:ascii="楷体_GB2312" w:hAnsi="黑体" w:eastAsia="楷体_GB2312" w:cs="黑体"/>
          <w:sz w:val="32"/>
          <w:szCs w:val="32"/>
        </w:rPr>
      </w:pPr>
      <w:r>
        <w:rPr>
          <w:rFonts w:hint="eastAsia" w:ascii="楷体_GB2312" w:hAnsi="黑体" w:eastAsia="楷体_GB2312" w:cs="黑体"/>
          <w:sz w:val="32"/>
          <w:szCs w:val="32"/>
        </w:rPr>
        <w:t>第六章</w:t>
      </w:r>
      <w:r>
        <w:rPr>
          <w:rFonts w:ascii="楷体_GB2312" w:hAnsi="黑体" w:eastAsia="楷体_GB2312" w:cs="黑体"/>
          <w:sz w:val="32"/>
          <w:szCs w:val="32"/>
        </w:rPr>
        <w:t xml:space="preserve">  </w:t>
      </w:r>
      <w:r>
        <w:rPr>
          <w:rFonts w:hint="eastAsia" w:ascii="楷体_GB2312" w:hAnsi="黑体" w:eastAsia="楷体_GB2312" w:cs="黑体"/>
          <w:sz w:val="32"/>
          <w:szCs w:val="32"/>
        </w:rPr>
        <w:t>附则</w:t>
      </w:r>
    </w:p>
    <w:p>
      <w:pPr>
        <w:widowControl/>
        <w:spacing w:line="500" w:lineRule="exact"/>
        <w:ind w:left="645"/>
        <w:rPr>
          <w:rFonts w:ascii="楷体_GB2312" w:hAnsi="宋体" w:eastAsia="楷体_GB2312" w:cs="Courier New"/>
          <w:kern w:val="0"/>
          <w:sz w:val="32"/>
          <w:szCs w:val="32"/>
        </w:rPr>
      </w:pPr>
    </w:p>
    <w:p>
      <w:pPr>
        <w:widowControl/>
        <w:spacing w:line="500" w:lineRule="exact"/>
        <w:ind w:firstLine="3200" w:firstLineChars="1000"/>
        <w:rPr>
          <w:rFonts w:ascii="黑体" w:hAnsi="黑体" w:eastAsia="黑体" w:cs="黑体"/>
          <w:kern w:val="0"/>
          <w:sz w:val="32"/>
          <w:szCs w:val="32"/>
        </w:rPr>
      </w:pPr>
      <w:r>
        <w:rPr>
          <w:rFonts w:hint="eastAsia" w:ascii="黑体" w:hAnsi="黑体" w:eastAsia="黑体" w:cs="黑体"/>
          <w:kern w:val="0"/>
          <w:sz w:val="32"/>
          <w:szCs w:val="32"/>
        </w:rPr>
        <w:t>第一章</w:t>
      </w:r>
      <w:r>
        <w:rPr>
          <w:rFonts w:ascii="黑体" w:hAnsi="黑体" w:eastAsia="黑体" w:cs="黑体"/>
          <w:kern w:val="0"/>
          <w:sz w:val="32"/>
          <w:szCs w:val="32"/>
        </w:rPr>
        <w:t xml:space="preserve"> </w:t>
      </w:r>
      <w:r>
        <w:rPr>
          <w:rFonts w:hint="eastAsia" w:ascii="黑体" w:hAnsi="黑体" w:eastAsia="黑体" w:cs="黑体"/>
          <w:kern w:val="0"/>
          <w:sz w:val="32"/>
          <w:szCs w:val="32"/>
        </w:rPr>
        <w:t>总则</w:t>
      </w:r>
    </w:p>
    <w:p>
      <w:pPr>
        <w:widowControl/>
        <w:spacing w:line="500" w:lineRule="exact"/>
        <w:ind w:firstLine="3200" w:firstLineChars="1000"/>
        <w:rPr>
          <w:rFonts w:ascii="仿宋_GB2312" w:hAnsi="Verdana" w:eastAsia="仿宋_GB2312" w:cs="宋体"/>
          <w:kern w:val="0"/>
          <w:sz w:val="32"/>
          <w:szCs w:val="32"/>
        </w:rPr>
      </w:pPr>
      <w:r>
        <w:rPr>
          <w:rFonts w:ascii="黑体" w:hAnsi="黑体" w:eastAsia="黑体" w:cs="黑体"/>
          <w:kern w:val="0"/>
          <w:sz w:val="32"/>
          <w:szCs w:val="32"/>
        </w:rPr>
        <w:br w:type="textWrapping"/>
      </w:r>
      <w:r>
        <w:rPr>
          <w:rFonts w:hint="eastAsia" w:ascii="仿宋_GB2312" w:hAnsi="Verdana" w:eastAsia="仿宋_GB2312" w:cs="宋体"/>
          <w:kern w:val="0"/>
          <w:sz w:val="32"/>
          <w:szCs w:val="32"/>
        </w:rPr>
        <w:t>　　</w:t>
      </w:r>
      <w:r>
        <w:rPr>
          <w:rFonts w:hint="eastAsia" w:ascii="黑体" w:hAnsi="黑体" w:eastAsia="黑体" w:cs="黑体"/>
          <w:kern w:val="0"/>
          <w:sz w:val="32"/>
          <w:szCs w:val="32"/>
        </w:rPr>
        <w:t>第一条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为了加强畜禽屠宰和畜禽产品流通管理，保证畜禽产品质量，保障人体健康，根据有关法律、法规，结合本市实际，制定本条例。</w:t>
      </w:r>
    </w:p>
    <w:p>
      <w:pPr>
        <w:widowControl/>
        <w:spacing w:line="500" w:lineRule="exact"/>
        <w:ind w:firstLine="640" w:firstLineChars="200"/>
        <w:jc w:val="left"/>
        <w:rPr>
          <w:rFonts w:ascii="仿宋_GB2312" w:hAnsi="Verdana" w:eastAsia="仿宋_GB2312" w:cs="宋体"/>
          <w:kern w:val="0"/>
          <w:sz w:val="32"/>
          <w:szCs w:val="32"/>
        </w:rPr>
      </w:pPr>
      <w:r>
        <w:rPr>
          <w:rFonts w:hint="eastAsia" w:ascii="黑体" w:hAnsi="黑体" w:eastAsia="黑体" w:cs="黑体"/>
          <w:kern w:val="0"/>
          <w:sz w:val="32"/>
          <w:szCs w:val="32"/>
        </w:rPr>
        <w:t>第二条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在本市行政区域内从事畜禽屠宰以及畜禽产品采购、加工、储存、运输、销售等经营活动的单位和个人应当遵守本条例。</w:t>
      </w:r>
    </w:p>
    <w:p>
      <w:pPr>
        <w:widowControl/>
        <w:spacing w:line="500" w:lineRule="exact"/>
        <w:ind w:firstLine="640" w:firstLineChars="200"/>
        <w:jc w:val="left"/>
        <w:rPr>
          <w:rFonts w:ascii="仿宋_GB2312" w:hAnsi="Verdana" w:eastAsia="仿宋_GB2312" w:cs="宋体"/>
          <w:kern w:val="0"/>
          <w:sz w:val="32"/>
          <w:szCs w:val="32"/>
        </w:rPr>
      </w:pPr>
      <w:r>
        <w:rPr>
          <w:rFonts w:hint="eastAsia" w:ascii="黑体" w:hAnsi="黑体" w:eastAsia="黑体" w:cs="黑体"/>
          <w:kern w:val="0"/>
          <w:sz w:val="32"/>
          <w:szCs w:val="32"/>
        </w:rPr>
        <w:t>第三条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本条例所称畜禽是指猪、牛、羊、鸡、鸭。</w:t>
      </w:r>
    </w:p>
    <w:p>
      <w:pPr>
        <w:widowControl/>
        <w:spacing w:line="500" w:lineRule="exact"/>
        <w:ind w:firstLine="640" w:firstLineChars="200"/>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本条例所称畜禽产品是指畜禽屠宰后未经加工的胴体、头、蹄、脏器、血液及其分割产品。</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hAnsi="仿宋_GB2312" w:eastAsia="仿宋_GB2312" w:cs="仿宋_GB2312"/>
          <w:sz w:val="32"/>
          <w:szCs w:val="32"/>
        </w:rPr>
        <w:t>市、区（市）畜牧兽医主管部门负责本行政区域内畜禽屠宰行业的监督管理。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环境保护、市场监督等有关部门在各自职责范围内负责畜禽屠宰的相关管理工作。</w:t>
      </w:r>
    </w:p>
    <w:p>
      <w:pPr>
        <w:widowControl/>
        <w:spacing w:line="500" w:lineRule="exact"/>
        <w:ind w:firstLine="640" w:firstLineChars="200"/>
        <w:jc w:val="left"/>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街道办事处、镇人民政府应当协助做好本地区的畜禽屠宰管理工作。</w:t>
      </w:r>
    </w:p>
    <w:p>
      <w:pPr>
        <w:widowControl/>
        <w:spacing w:line="500" w:lineRule="exact"/>
        <w:ind w:firstLine="640" w:firstLineChars="200"/>
        <w:jc w:val="left"/>
        <w:rPr>
          <w:rFonts w:ascii="仿宋_GB2312" w:hAnsi="Verdana" w:eastAsia="仿宋_GB2312" w:cs="宋体"/>
          <w:kern w:val="0"/>
          <w:sz w:val="32"/>
          <w:szCs w:val="32"/>
        </w:rPr>
      </w:pPr>
      <w:r>
        <w:rPr>
          <w:rFonts w:hint="eastAsia" w:ascii="黑体" w:hAnsi="黑体" w:eastAsia="黑体" w:cs="黑体"/>
          <w:kern w:val="0"/>
          <w:sz w:val="32"/>
          <w:szCs w:val="32"/>
        </w:rPr>
        <w:t>第五条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屠宰供少数民族食用的牛、羊、鸡、鸭，应当尊重少数民族风俗习惯。</w:t>
      </w:r>
    </w:p>
    <w:p>
      <w:pPr>
        <w:widowControl/>
        <w:spacing w:line="500" w:lineRule="exact"/>
        <w:ind w:firstLine="640" w:firstLineChars="200"/>
        <w:jc w:val="left"/>
        <w:rPr>
          <w:rFonts w:hint="eastAsia" w:ascii="仿宋_GB2312" w:hAnsi="Verdana" w:eastAsia="仿宋_GB2312" w:cs="宋体"/>
          <w:kern w:val="0"/>
          <w:sz w:val="32"/>
          <w:szCs w:val="32"/>
        </w:rPr>
      </w:pPr>
    </w:p>
    <w:p>
      <w:pPr>
        <w:widowControl/>
        <w:spacing w:line="500" w:lineRule="exact"/>
        <w:ind w:firstLine="640" w:firstLineChars="200"/>
        <w:jc w:val="center"/>
        <w:rPr>
          <w:rFonts w:ascii="黑体" w:hAnsi="黑体" w:eastAsia="黑体" w:cs="黑体"/>
          <w:kern w:val="0"/>
          <w:sz w:val="32"/>
          <w:szCs w:val="32"/>
        </w:rPr>
      </w:pPr>
      <w:r>
        <w:rPr>
          <w:rFonts w:hint="eastAsia" w:ascii="黑体" w:hAnsi="黑体" w:eastAsia="黑体" w:cs="黑体"/>
          <w:kern w:val="0"/>
          <w:sz w:val="32"/>
          <w:szCs w:val="32"/>
        </w:rPr>
        <w:t>第二章</w:t>
      </w:r>
      <w:r>
        <w:rPr>
          <w:rFonts w:ascii="黑体" w:hAnsi="黑体" w:eastAsia="黑体" w:cs="黑体"/>
          <w:kern w:val="0"/>
          <w:sz w:val="32"/>
          <w:szCs w:val="32"/>
        </w:rPr>
        <w:t xml:space="preserve"> </w:t>
      </w:r>
      <w:r>
        <w:rPr>
          <w:rFonts w:hint="eastAsia" w:ascii="黑体" w:hAnsi="黑体" w:eastAsia="黑体" w:cs="黑体"/>
          <w:kern w:val="0"/>
          <w:sz w:val="32"/>
          <w:szCs w:val="32"/>
        </w:rPr>
        <w:t>畜禽屠宰厂的设立</w:t>
      </w:r>
    </w:p>
    <w:p>
      <w:pPr>
        <w:widowControl/>
        <w:spacing w:line="500" w:lineRule="exact"/>
        <w:ind w:firstLine="640" w:firstLineChars="200"/>
        <w:jc w:val="center"/>
        <w:rPr>
          <w:rFonts w:hint="eastAsia" w:ascii="黑体" w:hAnsi="黑体" w:eastAsia="黑体" w:cs="黑体"/>
          <w:kern w:val="0"/>
          <w:sz w:val="32"/>
          <w:szCs w:val="32"/>
        </w:rPr>
      </w:pPr>
    </w:p>
    <w:p>
      <w:pPr>
        <w:widowControl/>
        <w:spacing w:line="54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第六条</w:t>
      </w:r>
      <w:r>
        <w:rPr>
          <w:rFonts w:hint="eastAsia" w:ascii="黑体" w:hAnsi="宋体" w:eastAsia="黑体" w:cs="宋体"/>
          <w:kern w:val="0"/>
          <w:sz w:val="28"/>
          <w:szCs w:val="28"/>
        </w:rPr>
        <w:t>　</w:t>
      </w:r>
      <w:r>
        <w:rPr>
          <w:rFonts w:hint="eastAsia" w:ascii="仿宋_GB2312" w:hAnsi="宋体" w:eastAsia="仿宋_GB2312" w:cs="宋体"/>
          <w:kern w:val="0"/>
          <w:sz w:val="32"/>
          <w:szCs w:val="32"/>
        </w:rPr>
        <w:t>市人民政府应当组织畜牧兽医、环境保护等有关部门，按照合理布局、保护环境、方便流通、相对集中的原则，制定畜禽屠宰厂设置规划。其中，生猪屠宰厂设置规划应当符合省生猪定点屠宰厂设置规划要求。</w:t>
      </w:r>
    </w:p>
    <w:p>
      <w:pPr>
        <w:widowControl/>
        <w:spacing w:line="54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第七条</w:t>
      </w:r>
      <w:r>
        <w:rPr>
          <w:rFonts w:ascii="黑体" w:hAnsi="黑体" w:eastAsia="黑体" w:cs="黑体"/>
          <w:kern w:val="0"/>
          <w:sz w:val="32"/>
          <w:szCs w:val="32"/>
        </w:rPr>
        <w:t xml:space="preserve"> </w:t>
      </w:r>
      <w:r>
        <w:rPr>
          <w:rFonts w:hint="eastAsia" w:ascii="仿宋_GB2312" w:hAnsi="Verdana" w:eastAsia="仿宋_GB2312" w:cs="宋体"/>
          <w:kern w:val="0"/>
          <w:sz w:val="32"/>
          <w:szCs w:val="32"/>
        </w:rPr>
        <w:t>畜禽屠宰厂的选址，应当符合规划、土地、动物防疫、环境保护、食品卫生等有关法律、法规的规定。</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ascii="仿宋_GB2312" w:hAnsi="Verdana" w:eastAsia="仿宋_GB2312"/>
          <w:sz w:val="32"/>
          <w:szCs w:val="32"/>
        </w:rPr>
        <w:t xml:space="preserve"> </w:t>
      </w:r>
      <w:r>
        <w:rPr>
          <w:rFonts w:hint="eastAsia" w:ascii="仿宋_GB2312" w:hAnsi="仿宋_GB2312" w:eastAsia="仿宋_GB2312" w:cs="仿宋_GB2312"/>
          <w:sz w:val="32"/>
          <w:szCs w:val="32"/>
        </w:rPr>
        <w:t>畜禽屠宰厂应当符合下列动物防疫条件：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（一）场所的位置与居民生活区、生活饮用水源地、学校、医院等公共场所的距离符合国务院畜牧兽医主管部门规定的标准；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（二）生产区封闭隔离，工程设计和工艺流程符合动物防疫要求；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（三）有相应的污水、污物、病死动物、染疫动物产品的无害化处理设施设备和清洗消毒设施设备；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（四）有为其服务的动物防疫技术人员；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（五）有完善的动物防疫制度；</w:t>
      </w:r>
    </w:p>
    <w:p>
      <w:pPr>
        <w:widowControl/>
        <w:spacing w:line="52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（六）具备国务院畜牧兽医主管部门规定的其他动物防疫条件。</w:t>
      </w:r>
    </w:p>
    <w:p>
      <w:pPr>
        <w:adjustRightInd w:val="0"/>
        <w:snapToGrid w:val="0"/>
        <w:spacing w:line="52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兴办畜禽屠宰厂，应当向市、区（市）畜牧兽医主管部门提出申请，并附具相关材料。受理申请的畜牧兽医主管部门应当依法进行审查。经审查合格的，发给动物防疫条件合格证；不合格的，应当通知申请人并说明理由。</w:t>
      </w:r>
    </w:p>
    <w:p>
      <w:pPr>
        <w:widowControl/>
        <w:spacing w:line="520" w:lineRule="exact"/>
        <w:ind w:firstLine="645"/>
        <w:rPr>
          <w:rFonts w:ascii="仿宋_GB2312" w:hAnsi="仿宋_GB2312" w:eastAsia="仿宋_GB2312" w:cs="仿宋_GB2312"/>
          <w:kern w:val="0"/>
          <w:sz w:val="32"/>
          <w:szCs w:val="32"/>
        </w:rPr>
      </w:pPr>
      <w:r>
        <w:rPr>
          <w:rFonts w:hint="eastAsia" w:ascii="仿宋_GB2312" w:hAnsi="宋体" w:eastAsia="仿宋_GB2312" w:cs="宋体"/>
          <w:kern w:val="0"/>
          <w:sz w:val="32"/>
          <w:szCs w:val="32"/>
        </w:rPr>
        <w:t>动物防疫条件合格证应当载明申请人的名称、厂址等事项。</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畜禽屠宰厂应当依法登记注册，取得营业执照后，方可开业。</w:t>
      </w:r>
    </w:p>
    <w:p>
      <w:pPr>
        <w:widowControl/>
        <w:spacing w:line="520" w:lineRule="exact"/>
        <w:ind w:firstLine="2262" w:firstLineChars="707"/>
        <w:jc w:val="left"/>
        <w:rPr>
          <w:rFonts w:ascii="黑体" w:hAnsi="黑体" w:eastAsia="黑体" w:cs="黑体"/>
          <w:kern w:val="0"/>
          <w:sz w:val="32"/>
          <w:szCs w:val="32"/>
        </w:rPr>
      </w:pPr>
    </w:p>
    <w:p>
      <w:pPr>
        <w:widowControl/>
        <w:spacing w:line="520" w:lineRule="exact"/>
        <w:jc w:val="center"/>
        <w:rPr>
          <w:rFonts w:ascii="黑体" w:hAnsi="黑体" w:eastAsia="黑体" w:cs="黑体"/>
          <w:kern w:val="0"/>
          <w:sz w:val="32"/>
          <w:szCs w:val="32"/>
        </w:rPr>
      </w:pPr>
      <w:r>
        <w:rPr>
          <w:rFonts w:hint="eastAsia" w:ascii="黑体" w:hAnsi="黑体" w:eastAsia="黑体" w:cs="黑体"/>
          <w:kern w:val="0"/>
          <w:sz w:val="32"/>
          <w:szCs w:val="32"/>
        </w:rPr>
        <w:t>第三章</w:t>
      </w:r>
      <w:r>
        <w:rPr>
          <w:rFonts w:ascii="黑体" w:hAnsi="黑体" w:eastAsia="黑体" w:cs="黑体"/>
          <w:kern w:val="0"/>
          <w:sz w:val="32"/>
          <w:szCs w:val="32"/>
        </w:rPr>
        <w:t xml:space="preserve"> </w:t>
      </w:r>
      <w:r>
        <w:rPr>
          <w:rFonts w:hint="eastAsia" w:ascii="黑体" w:hAnsi="黑体" w:eastAsia="黑体" w:cs="黑体"/>
          <w:kern w:val="0"/>
          <w:sz w:val="32"/>
          <w:szCs w:val="32"/>
        </w:rPr>
        <w:t>畜禽屠宰</w:t>
      </w:r>
    </w:p>
    <w:p>
      <w:pPr>
        <w:widowControl/>
        <w:spacing w:line="520" w:lineRule="exact"/>
        <w:ind w:firstLine="2262" w:firstLineChars="707"/>
        <w:jc w:val="left"/>
        <w:rPr>
          <w:rFonts w:hint="eastAsia" w:ascii="黑体" w:hAnsi="黑体" w:eastAsia="黑体" w:cs="黑体"/>
          <w:kern w:val="0"/>
          <w:sz w:val="32"/>
          <w:szCs w:val="32"/>
        </w:rPr>
      </w:pPr>
    </w:p>
    <w:p>
      <w:pPr>
        <w:widowControl/>
        <w:spacing w:line="52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畜禽屠宰应当符合国家规定的操作规程和技术要求。</w:t>
      </w:r>
    </w:p>
    <w:p>
      <w:pPr>
        <w:widowControl/>
        <w:spacing w:line="52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任何单位和个人不得屠宰染疫（含疑似染疫）、病死或者死因不明的畜禽，不得对畜禽以及畜禽产品注水或者注入其他物质，不得屠宰注水或者注入其他物质的畜禽。</w:t>
      </w:r>
    </w:p>
    <w:p>
      <w:pPr>
        <w:widowControl/>
        <w:spacing w:line="52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畜禽屠宰应当遵守下列检疫规定</w:t>
      </w:r>
      <w:r>
        <w:rPr>
          <w:rFonts w:ascii="仿宋_GB2312" w:hAnsi="Verdana" w:eastAsia="仿宋_GB2312" w:cs="宋体"/>
          <w:kern w:val="0"/>
          <w:sz w:val="32"/>
          <w:szCs w:val="32"/>
        </w:rPr>
        <w:t>:</w:t>
      </w:r>
      <w:r>
        <w:rPr>
          <w:rFonts w:ascii="仿宋_GB2312" w:hAnsi="Verdana" w:eastAsia="仿宋_GB2312" w:cs="宋体"/>
          <w:kern w:val="0"/>
          <w:sz w:val="32"/>
          <w:szCs w:val="32"/>
        </w:rPr>
        <w:br w:type="textWrapping"/>
      </w:r>
      <w:r>
        <w:rPr>
          <w:rFonts w:hint="eastAsia" w:ascii="仿宋_GB2312" w:hAnsi="Verdana" w:eastAsia="仿宋_GB2312" w:cs="宋体"/>
          <w:kern w:val="0"/>
          <w:sz w:val="32"/>
          <w:szCs w:val="32"/>
        </w:rPr>
        <w:t>　　（一）屠宰的畜禽应当有产地动物卫生监督机构出具的检疫合格证明、运载工具消毒证明，屠宰的猪、牛、羊应当有免疫标识；　　</w:t>
      </w:r>
    </w:p>
    <w:p>
      <w:pPr>
        <w:widowControl/>
        <w:spacing w:line="52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（二）畜禽屠宰前和屠宰后应当由动物卫生监督机构进行检疫，并对检疫结果负责；</w:t>
      </w:r>
    </w:p>
    <w:p>
      <w:pPr>
        <w:widowControl/>
        <w:spacing w:line="52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（三）畜禽检疫必须与屠宰同步进行，对胴体、头、蹄、内脏进行统一编号，对照检查；</w:t>
      </w:r>
    </w:p>
    <w:p>
      <w:pPr>
        <w:widowControl/>
        <w:spacing w:line="52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（四）经检疫合格的畜禽产品，由动物卫生监督机构出具检疫合格证明，并加盖或者加封检疫验讫标志；</w:t>
      </w:r>
    </w:p>
    <w:p>
      <w:pPr>
        <w:widowControl/>
        <w:spacing w:line="52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（五）法律、法规的其他规定。</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黑体" w:eastAsia="仿宋_GB2312" w:cs="黑体"/>
          <w:sz w:val="32"/>
          <w:szCs w:val="32"/>
        </w:rPr>
        <w:t>生猪实行定点屠宰，集中检疫制度。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生猪定点屠宰厂应当具备下列条件：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（一）有与屠宰规模相适应、水质符合国家规定标准的水源条件；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（二）有符合国家规定要求的待宰间、屠宰间、急宰间以及生猪屠宰设备和运载工具；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（三）有依法取得健康证明的屠宰技术人员；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（四）有经考核合格的肉品品质检验人员；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（五）有符合国家规定要求的检验设备、消毒设施以及符合环境保护要求的污染防治设施；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（六）有病害生猪及生猪产品无害化处理设施；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（七）依法取得动物防疫条件合格证。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猪定点屠宰厂由市人民政府根据设置规划，组织畜牧兽医主管部门、环境保护主管部门以及其他有关部门，依照规定的条件进行审查，经征求省畜牧兽医主管部门的意见确定，并颁发生猪定点屠宰证书和生猪定点屠宰标志牌。</w:t>
      </w:r>
    </w:p>
    <w:p>
      <w:pPr>
        <w:widowControl/>
        <w:spacing w:line="52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市人民政府应当将其确定的生猪定点屠宰厂名单及时向社会公布，并按照规定报省人民政府备案。</w:t>
      </w:r>
    </w:p>
    <w:p>
      <w:pPr>
        <w:widowControl/>
        <w:spacing w:line="52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第十五条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畜禽屠宰厂应当建立健全肉品品质检验管理制度，按照肉品卫生检验规程和国家有关标准，在屠宰时进行同步检验，并对检验结果以及处理情况进行登记。</w:t>
      </w:r>
    </w:p>
    <w:p>
      <w:pPr>
        <w:widowControl/>
        <w:spacing w:line="52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对经肉品品质检验合格的畜禽产品，应当出具肉品品质检验合格证明，并加盖检验合格标志或者加封检验验讫标志；对屠宰的种畜禽、晚阉猪，应当在其胴体上加盖或者加封相应的标志。</w:t>
      </w:r>
    </w:p>
    <w:p>
      <w:pPr>
        <w:widowControl/>
        <w:spacing w:line="52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第十六条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畜禽屠宰厂应当对屠宰的畜禽进行兽药残留和禁用药物等有毒有害物质抽样检测，出具检测报告，并对检测结果以及处理情况进行登记。</w:t>
      </w:r>
    </w:p>
    <w:p>
      <w:pPr>
        <w:widowControl/>
        <w:spacing w:line="54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第十七条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未经检疫、检验、检测以及经检疫、检验、检测不合格的畜禽产品不得出厂销售。</w:t>
      </w:r>
    </w:p>
    <w:p>
      <w:pPr>
        <w:widowControl/>
        <w:spacing w:line="54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对染疫、病死或者死因不明的畜禽，以及经检疫、检验、检测不合格的畜禽产品，应当在动物卫生监督机构或者</w:t>
      </w:r>
      <w:r>
        <w:rPr>
          <w:rFonts w:hint="eastAsia" w:ascii="仿宋_GB2312" w:hAnsi="仿宋_GB2312" w:eastAsia="仿宋_GB2312" w:cs="仿宋_GB2312"/>
          <w:kern w:val="0"/>
          <w:sz w:val="32"/>
          <w:szCs w:val="32"/>
        </w:rPr>
        <w:t>商品流通行政主管部门的</w:t>
      </w:r>
      <w:r>
        <w:rPr>
          <w:rFonts w:hint="eastAsia" w:ascii="仿宋_GB2312" w:hAnsi="Verdana" w:eastAsia="仿宋_GB2312" w:cs="宋体"/>
          <w:kern w:val="0"/>
          <w:sz w:val="32"/>
          <w:szCs w:val="32"/>
        </w:rPr>
        <w:t>监督下，按照国家有关规定进行无害化处理。</w:t>
      </w:r>
    </w:p>
    <w:p>
      <w:pPr>
        <w:widowControl/>
        <w:spacing w:line="54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第十八条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畜禽屠宰的卫生检验以及监督，依照食品卫生法的规定执行。</w:t>
      </w:r>
    </w:p>
    <w:p>
      <w:pPr>
        <w:widowControl/>
        <w:spacing w:line="500" w:lineRule="exact"/>
        <w:ind w:firstLine="645"/>
        <w:jc w:val="left"/>
        <w:rPr>
          <w:rFonts w:ascii="仿宋_GB2312" w:hAnsi="Verdana" w:eastAsia="仿宋_GB2312" w:cs="宋体"/>
          <w:kern w:val="0"/>
          <w:sz w:val="32"/>
          <w:szCs w:val="32"/>
        </w:rPr>
      </w:pPr>
      <w:r>
        <w:rPr>
          <w:rFonts w:hint="eastAsia" w:ascii="黑体" w:hAnsi="Verdana" w:eastAsia="黑体" w:cs="宋体"/>
          <w:kern w:val="0"/>
          <w:sz w:val="32"/>
          <w:szCs w:val="32"/>
        </w:rPr>
        <w:t>第十九条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畜禽屠宰厂代宰畜禽的，应当遵守价格行政主管部门的收费规定。</w:t>
      </w:r>
    </w:p>
    <w:p>
      <w:pPr>
        <w:widowControl/>
        <w:spacing w:line="500" w:lineRule="exact"/>
        <w:ind w:firstLine="645"/>
        <w:jc w:val="center"/>
        <w:rPr>
          <w:rFonts w:ascii="黑体" w:hAnsi="黑体" w:eastAsia="黑体" w:cs="黑体"/>
          <w:kern w:val="0"/>
          <w:sz w:val="32"/>
          <w:szCs w:val="32"/>
        </w:rPr>
      </w:pPr>
    </w:p>
    <w:p>
      <w:pPr>
        <w:widowControl/>
        <w:numPr>
          <w:ilvl w:val="0"/>
          <w:numId w:val="1"/>
        </w:num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畜禽产品流通</w:t>
      </w:r>
    </w:p>
    <w:p>
      <w:pPr>
        <w:widowControl/>
        <w:spacing w:line="500" w:lineRule="exact"/>
        <w:jc w:val="center"/>
        <w:rPr>
          <w:rFonts w:hint="eastAsia" w:ascii="黑体" w:hAnsi="黑体" w:eastAsia="黑体" w:cs="黑体"/>
          <w:kern w:val="0"/>
          <w:sz w:val="32"/>
          <w:szCs w:val="32"/>
        </w:rPr>
      </w:pP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第二十条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任何单位和个人不得采购、加工、储存、运输、销售无畜禽产品检疫合格证明、肉品品质检验合格证明（销售凭证）的畜禽产品。</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第二十一条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从事批发、零售畜禽产品的单位和个人采购畜禽产品，应当查验相关验讫标志，索取并保存畜禽产品检疫合格证明、肉品品质检验合格证明（销售凭证）</w:t>
      </w:r>
      <w:r>
        <w:rPr>
          <w:rFonts w:ascii="仿宋_GB2312" w:hAnsi="Verdana" w:eastAsia="仿宋_GB2312" w:cs="宋体"/>
          <w:kern w:val="0"/>
          <w:sz w:val="32"/>
          <w:szCs w:val="32"/>
        </w:rPr>
        <w:t>,</w:t>
      </w:r>
      <w:r>
        <w:rPr>
          <w:rFonts w:hint="eastAsia" w:ascii="仿宋_GB2312" w:hAnsi="Verdana" w:eastAsia="仿宋_GB2312" w:cs="宋体"/>
          <w:kern w:val="0"/>
          <w:sz w:val="32"/>
          <w:szCs w:val="32"/>
        </w:rPr>
        <w:t>及时登记进货台账。</w:t>
      </w:r>
    </w:p>
    <w:p>
      <w:pPr>
        <w:widowControl/>
        <w:spacing w:line="50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餐饮经营单位、集体用餐服务单位以及现场加工销售畜禽产品的单位和个人采购用于加工销售的畜禽产品，应当索取并保存销售发票，及时登记进货台账。</w:t>
      </w:r>
    </w:p>
    <w:p>
      <w:pPr>
        <w:widowControl/>
        <w:spacing w:line="500" w:lineRule="exact"/>
        <w:ind w:firstLine="645"/>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畜禽产品检疫合格证明、肉品品质检验合格证明（销售凭证）在畜禽产品销售后保存期限应当不少于十五日，进货台账保存期限应当不少于两年。</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第二十二条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批发、零售畜禽产品的，应当符合有关食品卫生法律、法规的规定，建立健全肉品销售卫生管理制度。</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第二十三条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零售畜禽产品的</w:t>
      </w:r>
      <w:r>
        <w:rPr>
          <w:rFonts w:ascii="仿宋_GB2312" w:hAnsi="Verdana" w:eastAsia="仿宋_GB2312" w:cs="宋体"/>
          <w:kern w:val="0"/>
          <w:sz w:val="32"/>
          <w:szCs w:val="32"/>
        </w:rPr>
        <w:t>,</w:t>
      </w:r>
      <w:r>
        <w:rPr>
          <w:rFonts w:hint="eastAsia" w:ascii="仿宋_GB2312" w:hAnsi="Verdana" w:eastAsia="仿宋_GB2312" w:cs="宋体"/>
          <w:kern w:val="0"/>
          <w:sz w:val="32"/>
          <w:szCs w:val="32"/>
        </w:rPr>
        <w:t>应当在销售场所明示屠宰厂名称和畜禽产品检疫合格证明、肉品品质检验合格证明（销售凭证）。</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第二十四条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运输畜禽产品应当使用专用的运载工具，有吊挂、温度要求的，应当使用相应的设备。</w:t>
      </w:r>
    </w:p>
    <w:p>
      <w:pPr>
        <w:widowControl/>
        <w:spacing w:line="500" w:lineRule="exact"/>
        <w:ind w:firstLine="645"/>
        <w:jc w:val="center"/>
        <w:rPr>
          <w:rFonts w:ascii="黑体" w:hAnsi="黑体" w:eastAsia="黑体" w:cs="黑体"/>
          <w:kern w:val="0"/>
          <w:sz w:val="32"/>
          <w:szCs w:val="32"/>
        </w:rPr>
      </w:pPr>
    </w:p>
    <w:p>
      <w:pPr>
        <w:widowControl/>
        <w:spacing w:line="500" w:lineRule="exact"/>
        <w:ind w:firstLine="645"/>
        <w:jc w:val="center"/>
        <w:rPr>
          <w:rFonts w:ascii="黑体" w:hAnsi="黑体" w:eastAsia="黑体" w:cs="黑体"/>
          <w:kern w:val="0"/>
          <w:sz w:val="32"/>
          <w:szCs w:val="32"/>
        </w:rPr>
      </w:pPr>
      <w:bookmarkStart w:id="0" w:name="_GoBack"/>
      <w:bookmarkEnd w:id="0"/>
    </w:p>
    <w:p>
      <w:pPr>
        <w:widowControl/>
        <w:numPr>
          <w:ilvl w:val="0"/>
          <w:numId w:val="1"/>
        </w:numPr>
        <w:spacing w:line="500" w:lineRule="exact"/>
        <w:jc w:val="center"/>
        <w:rPr>
          <w:rFonts w:ascii="黑体" w:hAnsi="黑体" w:eastAsia="黑体" w:cs="黑体"/>
          <w:kern w:val="0"/>
          <w:sz w:val="32"/>
          <w:szCs w:val="32"/>
        </w:rPr>
      </w:pPr>
      <w:r>
        <w:rPr>
          <w:rFonts w:hint="eastAsia" w:ascii="黑体" w:hAnsi="黑体" w:eastAsia="黑体" w:cs="黑体"/>
          <w:kern w:val="0"/>
          <w:sz w:val="32"/>
          <w:szCs w:val="32"/>
        </w:rPr>
        <w:t>法律责任</w:t>
      </w:r>
    </w:p>
    <w:p>
      <w:pPr>
        <w:widowControl/>
        <w:spacing w:line="500" w:lineRule="exact"/>
        <w:jc w:val="center"/>
        <w:rPr>
          <w:rFonts w:hint="eastAsia" w:ascii="黑体" w:hAnsi="黑体" w:eastAsia="黑体" w:cs="黑体"/>
          <w:kern w:val="0"/>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ascii="黑体" w:hAnsi="黑体" w:eastAsia="黑体" w:cs="黑体"/>
          <w:sz w:val="32"/>
          <w:szCs w:val="32"/>
        </w:rPr>
        <w:t xml:space="preserve"> </w:t>
      </w:r>
      <w:r>
        <w:rPr>
          <w:rFonts w:hint="eastAsia" w:ascii="仿宋_GB2312" w:hAnsi="仿宋_GB2312" w:eastAsia="仿宋_GB2312" w:cs="仿宋_GB2312"/>
          <w:sz w:val="32"/>
          <w:szCs w:val="32"/>
        </w:rPr>
        <w:t>违反畜禽检疫有关规定的，由动物卫生监督机构按照动物防疫法律、法规的有关规定处理。</w:t>
      </w:r>
    </w:p>
    <w:p>
      <w:pPr>
        <w:widowControl/>
        <w:spacing w:line="500" w:lineRule="exact"/>
        <w:ind w:firstLine="645"/>
        <w:jc w:val="left"/>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违反生猪定点屠宰、集中检疫有关规定的，按照国务院《生猪屠宰管理条例》的有关规定予以处罚。</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sz w:val="32"/>
          <w:szCs w:val="32"/>
        </w:rPr>
        <w:t>第二十六条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违反本条例第二十三条规定，未明示屠宰厂名称和畜禽产品检疫合格证明、肉品品质检验合格证明（销售凭证）的，由市场监督管理部门责令改正，处以二百元以上五百元以下罚款。</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sz w:val="32"/>
          <w:szCs w:val="32"/>
        </w:rPr>
        <w:t>第二十七条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对违反本条例规定的行为，其他法律、法规规定处罚的，由有关行政管理部门按照规定处理；构成犯罪的，依法追究刑事责任。</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sz w:val="32"/>
          <w:szCs w:val="32"/>
        </w:rPr>
        <w:t>第二十八条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当事人对有关行政机关作出的具体行政行为不服的，可以依法申请行政复议或者提起行政诉讼。</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sz w:val="32"/>
          <w:szCs w:val="32"/>
        </w:rPr>
        <w:t>第二十九条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有关行政机关工作人员在畜禽屠宰管理工作中滥用职权、玩忽职守、徇私舞弊的，依法给予行政处分</w:t>
      </w:r>
      <w:r>
        <w:rPr>
          <w:rFonts w:ascii="仿宋_GB2312" w:hAnsi="Verdana" w:eastAsia="仿宋_GB2312" w:cs="宋体"/>
          <w:kern w:val="0"/>
          <w:sz w:val="32"/>
          <w:szCs w:val="32"/>
        </w:rPr>
        <w:t>;</w:t>
      </w:r>
      <w:r>
        <w:rPr>
          <w:rFonts w:hint="eastAsia" w:ascii="仿宋_GB2312" w:hAnsi="Verdana" w:eastAsia="仿宋_GB2312" w:cs="宋体"/>
          <w:kern w:val="0"/>
          <w:sz w:val="32"/>
          <w:szCs w:val="32"/>
        </w:rPr>
        <w:t>构成犯罪的，依法追究刑事责任。</w:t>
      </w:r>
    </w:p>
    <w:p>
      <w:pPr>
        <w:widowControl/>
        <w:spacing w:line="500" w:lineRule="exact"/>
        <w:ind w:firstLine="645"/>
        <w:jc w:val="center"/>
        <w:rPr>
          <w:rFonts w:ascii="黑体" w:hAnsi="黑体" w:eastAsia="黑体" w:cs="黑体"/>
          <w:sz w:val="32"/>
          <w:szCs w:val="32"/>
        </w:rPr>
      </w:pPr>
    </w:p>
    <w:p>
      <w:pPr>
        <w:widowControl/>
        <w:numPr>
          <w:ilvl w:val="0"/>
          <w:numId w:val="1"/>
        </w:numPr>
        <w:spacing w:line="500" w:lineRule="exact"/>
        <w:jc w:val="center"/>
        <w:rPr>
          <w:rFonts w:ascii="黑体" w:hAnsi="黑体" w:eastAsia="黑体" w:cs="黑体"/>
          <w:sz w:val="32"/>
          <w:szCs w:val="32"/>
        </w:rPr>
      </w:pPr>
      <w:r>
        <w:rPr>
          <w:rFonts w:hint="eastAsia" w:ascii="黑体" w:hAnsi="黑体" w:eastAsia="黑体" w:cs="黑体"/>
          <w:sz w:val="32"/>
          <w:szCs w:val="32"/>
        </w:rPr>
        <w:t>附则</w:t>
      </w:r>
    </w:p>
    <w:p>
      <w:pPr>
        <w:widowControl/>
        <w:spacing w:line="500" w:lineRule="exact"/>
        <w:jc w:val="center"/>
        <w:rPr>
          <w:rFonts w:hint="eastAsia" w:ascii="黑体" w:hAnsi="黑体" w:eastAsia="黑体" w:cs="黑体"/>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ascii="仿宋_GB2312" w:hAnsi="Verdana" w:eastAsia="仿宋_GB2312"/>
          <w:sz w:val="32"/>
          <w:szCs w:val="32"/>
        </w:rPr>
        <w:t xml:space="preserve"> </w:t>
      </w:r>
      <w:r>
        <w:rPr>
          <w:rFonts w:hint="eastAsia" w:ascii="仿宋_GB2312" w:hAnsi="仿宋_GB2312" w:eastAsia="仿宋_GB2312" w:cs="仿宋_GB2312"/>
          <w:sz w:val="32"/>
          <w:szCs w:val="32"/>
        </w:rPr>
        <w:t>市人民政府可以根据省人民政府确定的其他动物定点屠宰种类，增加适用定点屠宰的畜禽种类。</w:t>
      </w:r>
    </w:p>
    <w:p>
      <w:pPr>
        <w:widowControl/>
        <w:spacing w:line="500" w:lineRule="exact"/>
        <w:ind w:firstLine="645"/>
        <w:jc w:val="left"/>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农村地区个人自宰自食畜禽的，不适用本条例。</w:t>
      </w:r>
    </w:p>
    <w:p>
      <w:pPr>
        <w:widowControl/>
        <w:spacing w:line="500" w:lineRule="exact"/>
        <w:ind w:firstLine="645"/>
        <w:jc w:val="left"/>
        <w:rPr>
          <w:rFonts w:ascii="仿宋_GB2312" w:hAnsi="Verdana" w:eastAsia="仿宋_GB2312" w:cs="宋体"/>
          <w:kern w:val="0"/>
          <w:sz w:val="32"/>
          <w:szCs w:val="32"/>
        </w:rPr>
      </w:pPr>
      <w:r>
        <w:rPr>
          <w:rFonts w:hint="eastAsia" w:ascii="黑体" w:hAnsi="黑体" w:eastAsia="黑体" w:cs="黑体"/>
          <w:kern w:val="0"/>
          <w:sz w:val="32"/>
          <w:szCs w:val="32"/>
        </w:rPr>
        <w:t>第三十一条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本条例自</w:t>
      </w:r>
      <w:r>
        <w:rPr>
          <w:rFonts w:ascii="仿宋_GB2312" w:hAnsi="Verdana" w:eastAsia="仿宋_GB2312" w:cs="宋体"/>
          <w:kern w:val="0"/>
          <w:sz w:val="32"/>
          <w:szCs w:val="32"/>
        </w:rPr>
        <w:t>2007</w:t>
      </w:r>
      <w:r>
        <w:rPr>
          <w:rFonts w:hint="eastAsia" w:ascii="仿宋_GB2312" w:hAnsi="Verdana" w:eastAsia="仿宋_GB2312" w:cs="宋体"/>
          <w:kern w:val="0"/>
          <w:sz w:val="32"/>
          <w:szCs w:val="32"/>
        </w:rPr>
        <w:t>年</w:t>
      </w:r>
      <w:r>
        <w:rPr>
          <w:rFonts w:ascii="仿宋_GB2312" w:hAnsi="Verdana" w:eastAsia="仿宋_GB2312" w:cs="宋体"/>
          <w:kern w:val="0"/>
          <w:sz w:val="32"/>
          <w:szCs w:val="32"/>
        </w:rPr>
        <w:t>11</w:t>
      </w:r>
      <w:r>
        <w:rPr>
          <w:rFonts w:hint="eastAsia" w:ascii="仿宋_GB2312" w:hAnsi="Verdana" w:eastAsia="仿宋_GB2312" w:cs="宋体"/>
          <w:kern w:val="0"/>
          <w:sz w:val="32"/>
          <w:szCs w:val="32"/>
        </w:rPr>
        <w:t>月</w:t>
      </w:r>
      <w:r>
        <w:rPr>
          <w:rFonts w:ascii="仿宋_GB2312" w:hAnsi="Verdana" w:eastAsia="仿宋_GB2312" w:cs="宋体"/>
          <w:kern w:val="0"/>
          <w:sz w:val="32"/>
          <w:szCs w:val="32"/>
        </w:rPr>
        <w:t>1</w:t>
      </w:r>
      <w:r>
        <w:rPr>
          <w:rFonts w:hint="eastAsia" w:ascii="仿宋_GB2312" w:hAnsi="Verdana" w:eastAsia="仿宋_GB2312" w:cs="宋体"/>
          <w:kern w:val="0"/>
          <w:sz w:val="32"/>
          <w:szCs w:val="32"/>
        </w:rPr>
        <w:t>日起施行。</w:t>
      </w:r>
      <w:r>
        <w:rPr>
          <w:rFonts w:ascii="仿宋_GB2312" w:hAnsi="Verdana" w:eastAsia="仿宋_GB2312" w:cs="宋体"/>
          <w:kern w:val="0"/>
          <w:sz w:val="32"/>
          <w:szCs w:val="32"/>
        </w:rPr>
        <w:t xml:space="preserve"> </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97C5D"/>
    <w:multiLevelType w:val="multilevel"/>
    <w:tmpl w:val="41297C5D"/>
    <w:lvl w:ilvl="0" w:tentative="0">
      <w:start w:val="1"/>
      <w:numFmt w:val="japaneseCounting"/>
      <w:lvlText w:val="第%1章"/>
      <w:lvlJc w:val="left"/>
      <w:pPr>
        <w:tabs>
          <w:tab w:val="left" w:pos="1830"/>
        </w:tabs>
        <w:ind w:left="1830" w:hanging="129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94ACD"/>
    <w:rsid w:val="5B894ACD"/>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2019-01-10T06:45:00Z</dcterms:created>
  <dc:creator>xx</dc:creator>
  <cp:lastModifiedBy>xx</cp:lastModifiedBy>
  <dcterms:modified xsi:type="dcterms:W3CDTF">2019-01-10T07:06:01Z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