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widowControl w:val="0"/>
        <w:suppressLineNumbers w:val="0"/>
        <w:autoSpaceDE w:val="0"/>
        <w:autoSpaceDN/>
        <w:spacing w:before="0" w:beforeAutospacing="0" w:after="0" w:afterAutospacing="0" w:line="640" w:lineRule="exact"/>
        <w:ind w:left="0" w:right="0"/>
        <w:jc w:val="center"/>
        <w:rPr>
          <w:rFonts w:hint="eastAsia" w:asciiTheme="majorEastAsia" w:hAnsiTheme="majorEastAsia" w:eastAsiaTheme="majorEastAsia" w:cstheme="majorEastAsia"/>
          <w:sz w:val="44"/>
          <w:szCs w:val="44"/>
          <w:lang w:val="en-US" w:eastAsia="zh-CN"/>
        </w:rPr>
      </w:pPr>
      <w:bookmarkStart w:id="0" w:name="_Toc10909"/>
      <w:r>
        <w:rPr>
          <w:rFonts w:hint="eastAsia" w:asciiTheme="majorEastAsia" w:hAnsiTheme="majorEastAsia" w:eastAsiaTheme="majorEastAsia" w:cstheme="majorEastAsia"/>
          <w:sz w:val="44"/>
          <w:szCs w:val="44"/>
          <w:lang w:val="en-US" w:eastAsia="zh-CN"/>
        </w:rPr>
        <w:t>铜仁市梵净山保护条例</w:t>
      </w:r>
    </w:p>
    <w:p>
      <w:pPr>
        <w:keepNext w:val="0"/>
        <w:keepLines w:val="0"/>
        <w:pageBreakBefore w:val="0"/>
        <w:widowControl w:val="0"/>
        <w:kinsoku/>
        <w:wordWrap/>
        <w:overflowPunct/>
        <w:topLinePunct w:val="0"/>
        <w:autoSpaceDE/>
        <w:autoSpaceDN/>
        <w:bidi w:val="0"/>
        <w:adjustRightInd/>
        <w:snapToGrid/>
        <w:spacing w:beforeAutospacing="0" w:afterAutospacing="0" w:line="592" w:lineRule="exact"/>
        <w:ind w:left="0" w:leftChars="0" w:right="0" w:rightChars="0"/>
        <w:jc w:val="both"/>
        <w:textAlignment w:val="auto"/>
        <w:outlineLvl w:val="9"/>
        <w:rPr>
          <w:rFonts w:hint="eastAsia" w:asciiTheme="majorEastAsia" w:hAnsiTheme="majorEastAsia" w:eastAsiaTheme="majorEastAsia" w:cstheme="majorEastAsia"/>
          <w:sz w:val="44"/>
          <w:szCs w:val="44"/>
          <w:lang w:val="en-US" w:eastAsia="zh-CN"/>
        </w:rPr>
      </w:pPr>
      <w:bookmarkStart w:id="1" w:name="_GoBack"/>
      <w:bookmarkEnd w:id="1"/>
    </w:p>
    <w:p>
      <w:pPr>
        <w:keepNext w:val="0"/>
        <w:keepLines w:val="0"/>
        <w:pageBreakBefore w:val="0"/>
        <w:widowControl w:val="0"/>
        <w:suppressLineNumbers w:val="0"/>
        <w:shd w:val="solid" w:color="FFFFFF" w:fill="auto"/>
        <w:kinsoku/>
        <w:wordWrap/>
        <w:overflowPunct/>
        <w:topLinePunct w:val="0"/>
        <w:autoSpaceDE/>
        <w:autoSpaceDN w:val="0"/>
        <w:bidi w:val="0"/>
        <w:adjustRightInd/>
        <w:snapToGrid/>
        <w:spacing w:before="0" w:beforeAutospacing="0" w:after="0" w:afterAutospacing="0" w:line="592" w:lineRule="exact"/>
        <w:ind w:left="638" w:leftChars="202" w:right="641" w:rightChars="203" w:firstLine="0" w:firstLineChars="0"/>
        <w:jc w:val="both"/>
        <w:textAlignment w:val="auto"/>
        <w:outlineLvl w:val="9"/>
        <w:rPr>
          <w:rFonts w:hint="eastAsia" w:ascii="楷体_GB2312" w:hAnsi="楷体" w:eastAsia="楷体_GB2312" w:cs="楷体"/>
          <w:color w:val="000000"/>
          <w:sz w:val="32"/>
          <w:szCs w:val="32"/>
          <w:shd w:val="clear" w:fill="FFFFFF"/>
          <w:lang w:val="en-US"/>
        </w:rPr>
      </w:pPr>
      <w:r>
        <w:rPr>
          <w:rFonts w:hint="eastAsia" w:ascii="楷体_GB2312" w:hAnsi="楷体" w:eastAsia="楷体_GB2312" w:cs="楷体"/>
          <w:color w:val="000000"/>
          <w:kern w:val="2"/>
          <w:sz w:val="32"/>
          <w:szCs w:val="32"/>
          <w:shd w:val="clear" w:fill="FFFFFF"/>
          <w:lang w:val="en-US" w:eastAsia="zh-CN" w:bidi="ar"/>
        </w:rPr>
        <w:t>（</w:t>
      </w:r>
      <w:r>
        <w:rPr>
          <w:rFonts w:hint="eastAsia" w:ascii="楷体_GB2312" w:hAnsi="楷体" w:eastAsia="楷体_GB2312" w:cs="楷体_GB2312"/>
          <w:spacing w:val="-10"/>
          <w:kern w:val="2"/>
          <w:sz w:val="32"/>
          <w:szCs w:val="32"/>
          <w:lang w:val="en-US" w:eastAsia="zh-CN" w:bidi="ar"/>
        </w:rPr>
        <w:t xml:space="preserve">2018年8月30日铜仁市第二届人民表大会常务委员会第十三次会议通过  </w:t>
      </w:r>
      <w:r>
        <w:rPr>
          <w:rFonts w:hint="eastAsia" w:ascii="楷体_GB2312" w:hAnsi="楷体" w:eastAsia="楷体_GB2312" w:cs="楷体_GB2312"/>
          <w:kern w:val="2"/>
          <w:sz w:val="32"/>
          <w:szCs w:val="32"/>
          <w:lang w:val="en-US" w:eastAsia="zh-CN" w:bidi="ar"/>
        </w:rPr>
        <w:t>2018年9月20日贵州省第十三届人民代表大会常务委员会第五次会议批准</w:t>
      </w:r>
      <w:r>
        <w:rPr>
          <w:rFonts w:hint="eastAsia" w:ascii="楷体_GB2312" w:hAnsi="楷体" w:eastAsia="楷体_GB2312" w:cs="楷体"/>
          <w:color w:val="000000"/>
          <w:kern w:val="2"/>
          <w:sz w:val="32"/>
          <w:szCs w:val="32"/>
          <w:shd w:val="clear" w:fill="FFFFFF"/>
          <w:lang w:val="en-US" w:eastAsia="zh-CN" w:bidi="ar"/>
        </w:rPr>
        <w:t>）</w:t>
      </w:r>
    </w:p>
    <w:bookmarkEnd w:id="0"/>
    <w:p>
      <w:pPr>
        <w:keepNext w:val="0"/>
        <w:keepLines w:val="0"/>
        <w:pageBreakBefore w:val="0"/>
        <w:widowControl w:val="0"/>
        <w:suppressLineNumbers w:val="0"/>
        <w:kinsoku/>
        <w:wordWrap/>
        <w:overflowPunct/>
        <w:topLinePunct w:val="0"/>
        <w:autoSpaceDE w:val="0"/>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方正小标宋简体" w:hAnsi="方正小标宋简体" w:eastAsia="方正小标宋简体" w:cs="方正小标宋简体"/>
          <w:kern w:val="60"/>
          <w:sz w:val="32"/>
          <w:szCs w:val="32"/>
          <w:lang w:val="en-US"/>
        </w:rPr>
      </w:pPr>
      <w:r>
        <w:rPr>
          <w:rFonts w:hint="eastAsia" w:ascii="黑体" w:hAnsi="宋体" w:eastAsia="黑体" w:cs="黑体"/>
          <w:kern w:val="60"/>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第一条</w:t>
      </w:r>
      <w:r>
        <w:rPr>
          <w:rFonts w:hint="eastAsia" w:ascii="仿宋_GB2312" w:hAnsi="仿宋" w:eastAsia="仿宋_GB2312" w:cs="仿宋_GB2312"/>
          <w:kern w:val="2"/>
          <w:sz w:val="32"/>
          <w:szCs w:val="32"/>
          <w:lang w:val="en-US" w:eastAsia="zh-CN" w:bidi="ar"/>
        </w:rPr>
        <w:t xml:space="preserve">  为了加强梵净山生态环境、自然资源和生物多样性保护，规范资源利用，促进生态文明建设，根据有关法律、法规的规定，结合实际，制定本条例。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第二条</w:t>
      </w:r>
      <w:r>
        <w:rPr>
          <w:rFonts w:hint="eastAsia" w:ascii="仿宋_GB2312" w:hAnsi="微软雅黑" w:eastAsia="仿宋_GB2312" w:cs="仿宋_GB2312"/>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梵净山内规划建设、资源环境保护及其相关利用管理活动，应当遵守本条例。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本条例所称梵净山，是指梵净山世界自然遗产保护范围，包括梵净山国家级自然保护区和与其相邻的印江洋溪省级自然保护区、梵净山—太平河省级风景名胜区、印江木黄省级风景名胜区部分区域及其他区域。具体范围由市人民政府公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第三条</w:t>
      </w:r>
      <w:r>
        <w:rPr>
          <w:rFonts w:hint="eastAsia" w:ascii="仿宋_GB2312" w:hAnsi="宋体" w:eastAsia="仿宋_GB2312" w:cs="仿宋_GB2312"/>
          <w:kern w:val="2"/>
          <w:sz w:val="32"/>
          <w:szCs w:val="32"/>
          <w:lang w:val="en-US" w:eastAsia="zh-CN" w:bidi="ar"/>
        </w:rPr>
        <w:t xml:space="preserve"> </w:t>
      </w:r>
      <w:r>
        <w:rPr>
          <w:rFonts w:hint="eastAsia" w:ascii="仿宋_GB2312" w:hAnsi="Times New Roman" w:eastAsia="仿宋_GB2312" w:cs="仿宋_GB2312"/>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梵净山保护坚持生态优先、绿色发展、统一管理、共抓保护、科学规划、永续利用的原则。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 xml:space="preserve">第四条 </w:t>
      </w:r>
      <w:r>
        <w:rPr>
          <w:rFonts w:hint="eastAsia" w:ascii="仿宋_GB2312" w:hAnsi="宋体" w:eastAsia="仿宋_GB2312" w:cs="仿宋_GB2312"/>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梵净山实行分区保护管理，划分为一级保护区、二级保护区、三级保护区。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一级保护区是指梵净山国家级自然保护区的核心区和缓冲区、印江洋溪省级自然保护区茶元片区的核心区和缓冲区。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二级保护区是指梵净山国家级自然保护区的实验区、印江洋溪省级自然保护区茶元片区的实验区、梵净山—太平河省级风景名胜区凯文村至太平社区沿河一带、印江木黄省级风景名胜区金星村片区。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三级保护区是指除一、二级保护区以外的区域。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第五条</w:t>
      </w:r>
      <w:r>
        <w:rPr>
          <w:rFonts w:hint="eastAsia" w:ascii="仿宋_GB2312" w:hAnsi="微软雅黑" w:eastAsia="仿宋_GB2312" w:cs="仿宋_GB2312"/>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市人民政府应当加强梵净山保护工作的领导，建立梵净山保护协调机制，对相关主管部门和梵净山所在地县级人民政府实行年度目标考核评价制度。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市人民政府相关部门应当按照各自职责，做好梵净山保护工作。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梵净山所在地县、乡级人民政府应当依照相关法律、法规和本条例的规定，做好梵净山保护工作。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第六条</w:t>
      </w:r>
      <w:r>
        <w:rPr>
          <w:rFonts w:hint="eastAsia" w:ascii="仿宋_GB2312" w:hAnsi="宋体" w:eastAsia="仿宋_GB2312" w:cs="仿宋_GB2312"/>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 xml:space="preserve">梵净山世界自然遗产保护管理局、梵净山国家级自然保护区管理局（以下统称梵净山管理机构），具体负责梵净山保护、利用的统一管理工作，履行下列职责：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（二）制定生态环境、自然资源、历史遗迹、人文景观等方面的保护管理制度；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（三）保护梵净山自然生态系统、地质遗迹等，组织开展与自然遗产保护有关的科研、科普、教育等活动；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（四）负责公共基础设施和有关建设事项的监督管理工作；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xml:space="preserve">（五）会同县、乡级人民政府和相关主管部门建立梵净山管理执法协作机制、社区共管共建机制；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（六）法律、法规规定的其他职责。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梵净山管理机构根据保护管理需要设立的分支机构，负责所在区域的保护管理工作。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第七条</w:t>
      </w:r>
      <w:r>
        <w:rPr>
          <w:rFonts w:hint="eastAsia" w:ascii="仿宋_GB2312" w:hAnsi="宋体" w:eastAsia="仿宋_GB2312" w:cs="宋体"/>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市、县级人民政府应当将梵净山资源环境保护、生态修复、生态补偿等经费列入本级财政预算，并建立相应的保障机制。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市、县级人民政府应当建立梵净山保护生态补偿机制，对因承担梵净山生态环境保护责任使经济发展或者生产生活受到限制的单位和个人，可以通过财政转移支付分配、产业发展扶持、技术培训指导等方式给予补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 xml:space="preserve">第八条 </w:t>
      </w:r>
      <w:r>
        <w:rPr>
          <w:rFonts w:hint="eastAsia" w:ascii="仿宋_GB2312" w:hAnsi="宋体" w:eastAsia="仿宋_GB2312" w:cs="仿宋_GB2312"/>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市人民政府应当定期向市人民代表大会常务委员会报告梵净山保护管理工作情况。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市、县级人民代表大会常务委员会应当对梵净山保护管理情况开展视察、执法检查、专题询问等监督工作。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第九条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鼓励梵净山内村组、社区制定村规民约、居民公约，共同参与梵净山环境和资源保护工作。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单位和个人有权依法举报或者劝阻污染环境和破坏资源的行为。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对梵净山保护管理工作做出突出贡献的单位和个人，按照国家、省有关规定给予表彰和奖励。</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第二章  规划建设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第十条</w:t>
      </w:r>
      <w:r>
        <w:rPr>
          <w:rFonts w:hint="eastAsia" w:ascii="仿宋_GB2312" w:hAnsi="MT Extra" w:eastAsia="仿宋_GB2312" w:cs="仿宋_GB2312"/>
          <w:color w:val="000000"/>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梵净山管理机构应当会同市人民政府相关主管部门和县级人民政府编制梵净山保护规划，经市人民政府批准后实施。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梵净山保护规划应当按照统筹资源配置、明确分区保护管理、合理布局村寨、突出地方特色的原则进行编制，并与梵净山内已依法批准的自然保护区、风景名胜区、世界自然遗产等规划相衔接。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第十一条</w:t>
      </w:r>
      <w:r>
        <w:rPr>
          <w:rFonts w:hint="eastAsia" w:ascii="仿宋_GB2312" w:hAnsi="仿宋" w:eastAsia="仿宋_GB2312" w:cs="仿宋_GB2312"/>
          <w:color w:val="000000"/>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县、乡级人民政府编制或者修改涉及梵净山的乡规划、村寨规划、旅游规划和其他专项规划，应当符合梵净山保护规划，并征求梵净山管理机构意见。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第十二条</w:t>
      </w:r>
      <w:r>
        <w:rPr>
          <w:rFonts w:hint="eastAsia" w:ascii="仿宋_GB2312" w:hAnsi="仿宋" w:eastAsia="仿宋_GB2312" w:cs="仿宋_GB2312"/>
          <w:kern w:val="2"/>
          <w:sz w:val="32"/>
          <w:szCs w:val="32"/>
          <w:lang w:val="en-US" w:eastAsia="zh-CN" w:bidi="ar"/>
        </w:rPr>
        <w:t xml:space="preserve">  乡级人民政府应当按照因地制宜、节约用地、有利生产的原则，组织编制梵净山内的村寨规划，实现村寨规划全覆盖。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编制二、三级保护区内的村寨规划，应当预留原有居民住宅用地。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原有居民房屋确因保护需要不能改建、扩建的，可以在前款规定范围内另行申请宅基地。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第十三条</w:t>
      </w:r>
      <w:r>
        <w:rPr>
          <w:rFonts w:hint="eastAsia" w:ascii="仿宋_GB2312" w:hAnsi="宋体" w:eastAsia="仿宋_GB2312" w:cs="仿宋_GB2312"/>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 xml:space="preserve"> 一级保护区内，保持自然生态系统的原真性、完整性，禁止建设任何生产设施、开展旅游和生产经营活动。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二级保护区内，除生态保护修复工程、科研教学、观光旅游和不损害自然生态系统的原有居民生活生产设施改造外，禁止开发建设商业房地产以及其他破坏资源或者景观、污染环境的项目。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三级保护区内，各类建设项目应当符合梵净山保护规划，禁止开发建设与梵净山保护要求不一致的各类项目。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第十四条</w:t>
      </w:r>
      <w:r>
        <w:rPr>
          <w:rFonts w:hint="eastAsia" w:ascii="仿宋_GB2312" w:hAnsi="宋体" w:eastAsia="仿宋_GB2312" w:cs="仿宋_GB2312"/>
          <w:kern w:val="2"/>
          <w:sz w:val="32"/>
          <w:szCs w:val="32"/>
          <w:lang w:val="en-US" w:eastAsia="zh-CN" w:bidi="ar"/>
        </w:rPr>
        <w:t xml:space="preserve"> </w:t>
      </w:r>
      <w:r>
        <w:rPr>
          <w:rFonts w:hint="eastAsia" w:ascii="仿宋_GB2312" w:hAnsi="宋体" w:eastAsia="仿宋_GB2312" w:cs="仿宋_GB2312"/>
          <w:color w:val="000000"/>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梵净山内各类建设项目应当符合法律、法规规定，并征求梵净山管理机构意见。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建设项目施工前，建设单位应当将有关手续报梵净山管理机构备查。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建设项目施工中，建设单位和施工单位应当严格按照水土保持方案、环境影响评价文件等要求进行施工，将弃渣、弃土堆放在专门的弃土场，不得乱堆乱弃，不得破坏周围的自然景观、水体、植被和野生动物栖息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建设项目完工后，建设单位和施工单位应当及时清理场地、修复生态；项目验收时，应当有梵净山管理机构参加。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第十五条</w:t>
      </w:r>
      <w:r>
        <w:rPr>
          <w:rFonts w:hint="eastAsia" w:ascii="仿宋_GB2312" w:hAnsi="宋体" w:eastAsia="仿宋_GB2312" w:cs="仿宋_GB2312"/>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 xml:space="preserve"> 在梵净山内村寨规划区内进行居民住宅、乡村公共设施、公益事业等建设单位和个人应当依法取得乡村建设规划许可证。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原有居民确需新建住宅的，宅基地用地面积和建筑面积不得超过省规定的标准，房屋高度不得超过12米，建筑风格应当体现地方特色和民族特征，与周围景观和自然环境相协调。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第十六条</w:t>
      </w:r>
      <w:r>
        <w:rPr>
          <w:rFonts w:hint="eastAsia" w:ascii="仿宋_GB2312" w:hAnsi="宋体" w:eastAsia="仿宋_GB2312" w:cs="宋体"/>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县级人民政府相关主管部门和乡级人民政府应当优先在梵净山内的村寨建设生活污水处理设施和垃圾收集设施，并保障其正常运转。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禁止在梵净山建设垃圾填埋场、垃圾焚烧设施。</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第三章  资源保护</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第十七条</w:t>
      </w:r>
      <w:r>
        <w:rPr>
          <w:rFonts w:hint="eastAsia" w:ascii="仿宋_GB2312" w:hAnsi="Arial" w:eastAsia="仿宋_GB2312" w:cs="Arial"/>
          <w:color w:val="FF0000"/>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梵净山管理机构应当加强梵净山生态系统、生物多样性研究，建立生物多样性保护基地，利用综合信息监控管理系统，对植物、动物、大气、水体等实施动态监测，为梵净山生态环境保护提供科学依据。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梵净山管理机构应当会同县级人民政府林业、农业主管部门，向社会公告梵净山珍稀、濒危野生动植物名录，并设立保护标志。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梵净山管理机构应当建立科普教育场馆，编制科普视听资料，展示、宣传梵净山生物多样性和自然风貌。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第十八条</w:t>
      </w:r>
      <w:r>
        <w:rPr>
          <w:rFonts w:hint="eastAsia" w:ascii="仿宋_GB2312" w:hAnsi="仿宋" w:eastAsia="仿宋_GB2312" w:cs="仿宋_GB2312"/>
          <w:kern w:val="2"/>
          <w:sz w:val="32"/>
          <w:szCs w:val="32"/>
          <w:lang w:val="en-US" w:eastAsia="zh-CN" w:bidi="ar"/>
        </w:rPr>
        <w:t xml:space="preserve">  梵净山实行全年森林防火，市、县、乡级人民政府应当逐级签订森林防火责任书。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县、乡级人民政府和梵净山管理机构应当建立毗邻区域联防联控机制，加强森林防火宣传，完善火情监测预警体系，实行森林防火网格化管理。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第十九条</w:t>
      </w:r>
      <w:r>
        <w:rPr>
          <w:rFonts w:hint="eastAsia" w:ascii="仿宋_GB2312" w:hAnsi="仿宋" w:eastAsia="仿宋_GB2312" w:cs="仿宋_GB2312"/>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梵净山管理机构和县级人民政府林业主管部门应当加强梵净山野生植物特别是梵净山冷杉、珙桐等珍稀野生植物的保护，做好封山育林、植树造林、林业有害生物防治等工作，提高森林覆盖率和森林资源质量。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禁止擅自改变林地用途。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第二十条</w:t>
      </w:r>
      <w:r>
        <w:rPr>
          <w:rFonts w:hint="eastAsia" w:ascii="仿宋_GB2312" w:hAnsi="仿宋" w:eastAsia="仿宋_GB2312" w:cs="仿宋_GB2312"/>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梵净山管理机构和县级人民政府相关主管部门应当加强梵净山野生动物特别是黔金丝猴、大鲵等珍稀野生动物的保护，防止人为破坏和干扰野生动物生存环境。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禁止非法猎捕、买卖、食用野生保护动物及其制品。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第二十一条</w:t>
      </w:r>
      <w:r>
        <w:rPr>
          <w:rFonts w:hint="eastAsia" w:ascii="仿宋_GB2312" w:hAnsi="宋体" w:eastAsia="仿宋_GB2312" w:cs="宋体"/>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禁止在梵净山勘探和开采矿产资源。已有的矿产资源开采企业应当限期关闭，并依法予以补偿。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梵净山的废弃矿山由原采矿权人或者投资人负责治理；原采矿权人或者投资人无法明确</w:t>
      </w:r>
      <w:r>
        <w:rPr>
          <w:rFonts w:hint="eastAsia" w:ascii="仿宋_GB2312" w:hAnsi="宋体" w:eastAsia="仿宋_GB2312" w:cs="仿宋_GB2312"/>
          <w:kern w:val="2"/>
          <w:sz w:val="32"/>
          <w:szCs w:val="32"/>
          <w:lang w:val="en-US" w:eastAsia="zh-CN" w:bidi="ar"/>
        </w:rPr>
        <w:t>，</w:t>
      </w:r>
      <w:r>
        <w:rPr>
          <w:rFonts w:hint="eastAsia" w:ascii="仿宋_GB2312" w:hAnsi="仿宋" w:eastAsia="仿宋_GB2312" w:cs="仿宋_GB2312"/>
          <w:kern w:val="2"/>
          <w:sz w:val="32"/>
          <w:szCs w:val="32"/>
          <w:lang w:val="en-US" w:eastAsia="zh-CN" w:bidi="ar"/>
        </w:rPr>
        <w:t>或者无力治理的，由县级人民政府统筹规划、治理恢复。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 xml:space="preserve">第二十二条 </w:t>
      </w:r>
      <w:r>
        <w:rPr>
          <w:rFonts w:hint="eastAsia" w:ascii="仿宋_GB2312" w:hAnsi="Arial" w:eastAsia="仿宋_GB2312" w:cs="Arial"/>
          <w:color w:val="FF0000"/>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市、县级人民政府水资源主管部门和环境保护主管部门应当加强梵净山地表水和地下水保护，确定河道生态流量和地下水合理水位，监测水环境质量，防止水体污染。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禁止在一、二级保护区开发取用水资源。三级保护区内，除人畜饮水、农业灌溉取水外，未经市人民政府同意，任何单位和个人不得从事经营性开发取用水资源。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仿宋" w:eastAsia="仿宋_GB2312" w:cs="仿宋_GB2312"/>
          <w:kern w:val="2"/>
          <w:sz w:val="32"/>
          <w:szCs w:val="32"/>
          <w:lang w:val="en-US" w:eastAsia="zh-CN" w:bidi="ar"/>
        </w:rPr>
        <w:t>禁止在梵净山新建水电站。已建水电站由县级人民政府水资源主管部门会同环境保护主管部门责令关闭或者拆除，并依法予以补偿。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第二十三条</w:t>
      </w:r>
      <w:r>
        <w:rPr>
          <w:rFonts w:hint="eastAsia" w:ascii="仿宋_GB2312" w:hAnsi="宋体" w:eastAsia="仿宋_GB2312" w:cs="宋体"/>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市气象主管机构应当会同梵净山管理机构建设梵净山气候资源监测设施，为气候资源保护提供科学依据。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在二、三级保护区内，规划和建设与气候条件密切相关的重大项目应当进行气候可行性论证，避免或者减少建设项目对气候的破坏。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第二十四条</w:t>
      </w:r>
      <w:r>
        <w:rPr>
          <w:rFonts w:hint="eastAsia" w:ascii="仿宋_GB2312" w:hAnsi="宋体" w:eastAsia="仿宋_GB2312" w:cs="宋体"/>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梵净山生态修复治理按照谁损害谁负责、谁破坏谁治理的原则确定责任人。无法确定责任人的，由所在地县级人民政府负责修复治理。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生态修复治理以自然恢复为主，生物措施和工程措施相结合的方式进行。梵净山管理机构应当对生态修复治理工作进行监督。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
          <w:sz w:val="32"/>
          <w:szCs w:val="32"/>
          <w:lang w:val="en-US"/>
        </w:rPr>
      </w:pPr>
      <w:r>
        <w:rPr>
          <w:rFonts w:hint="eastAsia" w:ascii="黑体" w:hAnsi="宋体" w:eastAsia="黑体" w:cs="黑体"/>
          <w:kern w:val="2"/>
          <w:sz w:val="32"/>
          <w:szCs w:val="32"/>
          <w:lang w:val="en-US" w:eastAsia="zh-CN" w:bidi="ar"/>
        </w:rPr>
        <w:t>第二十五条</w:t>
      </w:r>
      <w:r>
        <w:rPr>
          <w:rFonts w:hint="eastAsia" w:ascii="仿宋_GB2312" w:hAnsi="Times New Roman" w:eastAsia="仿宋_GB2312" w:cs="仿宋_GB2312"/>
          <w:color w:val="000000"/>
          <w:kern w:val="2"/>
          <w:sz w:val="32"/>
          <w:szCs w:val="32"/>
          <w:lang w:val="en-US" w:eastAsia="zh-CN" w:bidi="ar"/>
        </w:rPr>
        <w:t xml:space="preserve">  </w:t>
      </w:r>
      <w:r>
        <w:rPr>
          <w:rFonts w:hint="eastAsia" w:ascii="仿宋_GB2312" w:hAnsi="仿宋" w:eastAsia="仿宋_GB2312" w:cs="仿宋_GB2312"/>
          <w:color w:val="000000"/>
          <w:kern w:val="2"/>
          <w:sz w:val="32"/>
          <w:szCs w:val="32"/>
          <w:lang w:val="en-US" w:eastAsia="zh-CN" w:bidi="ar"/>
        </w:rPr>
        <w:t>经依法批准，</w:t>
      </w:r>
      <w:r>
        <w:rPr>
          <w:rFonts w:hint="eastAsia" w:ascii="仿宋_GB2312" w:hAnsi="仿宋" w:eastAsia="仿宋_GB2312" w:cs="仿宋_GB2312"/>
          <w:kern w:val="2"/>
          <w:sz w:val="32"/>
          <w:szCs w:val="32"/>
          <w:lang w:val="en-US" w:eastAsia="zh-CN" w:bidi="ar"/>
        </w:rPr>
        <w:t>梵净山管理机构可以在出入一级保护区的主要路口设立野生动植物资源保护检查点，并建立方便原有居民出入的管理制度。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第二十六条</w:t>
      </w:r>
      <w:r>
        <w:rPr>
          <w:rFonts w:hint="eastAsia" w:ascii="仿宋_GB2312" w:hAnsi="仿宋" w:eastAsia="仿宋_GB2312" w:cs="仿宋"/>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在三级保护区内，禁止下列行为：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（一）烧荒烧炭、露天焚烧秸秆；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（二）露天焚烧沥青、塑料等产生有毒有害、恶臭气体的物质；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（三）开山、采石、取土、挖沙、开垦；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（四）非法采伐林木；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xml:space="preserve">（五）非法移植古树、名木、大树、珍稀树木；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（六）采集野生中药材、挖树兜；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（七）电鱼、毒鱼、炸鱼，使用禁用渔具捕捞；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（八）在河道内弃置渣土、垃圾等废弃物；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（九）引进或者放生有害外来物种；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（十）法律、法规禁止的其他行为。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第二十七条</w:t>
      </w:r>
      <w:r>
        <w:rPr>
          <w:rFonts w:hint="eastAsia" w:ascii="仿宋_GB2312" w:hAnsi="宋体" w:eastAsia="仿宋_GB2312" w:cs="宋体"/>
          <w:kern w:val="0"/>
          <w:sz w:val="32"/>
          <w:szCs w:val="32"/>
          <w:lang w:val="en-US" w:eastAsia="zh-CN" w:bidi="ar"/>
        </w:rPr>
        <w:t xml:space="preserve"> </w:t>
      </w:r>
      <w:r>
        <w:rPr>
          <w:rFonts w:hint="eastAsia" w:ascii="仿宋_GB2312" w:hAnsi="仿宋" w:eastAsia="仿宋_GB2312" w:cs="仿宋_GB2312"/>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在二级保护区内，除适用本条例第二十六条规定以外，还禁止下列行为：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（一）在禁火区内户外用火、燃放烟花爆竹；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（二）在划定区域外烧烤、野炊、露营、游泳；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（三）砍伐、放牧、捕捞；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（四）擅自截流或者改变河流、溪流、瀑布的自然状态；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（五）建设畜禽养殖场、养殖小区；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（六）修建储存爆炸性、易燃性、放射性、毒害性、腐蚀性物品的设施；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（七）法律、法规禁止的其他行为。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第二十八条</w:t>
      </w:r>
      <w:r>
        <w:rPr>
          <w:rFonts w:hint="eastAsia" w:ascii="仿宋_GB2312" w:hAnsi="宋体" w:eastAsia="仿宋_GB2312" w:cs="宋体"/>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在一级保护区内，除适用本条例第二十六条、第二十七条规定以外，还禁止下列行为：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（一）任何单位和个人擅自进入核心区；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（二）在缓冲区内从事除教学科研以外的活动；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（三）法律、法规禁止的其他行为。</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第四章  利用管理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第二十九条</w:t>
      </w:r>
      <w:r>
        <w:rPr>
          <w:rFonts w:hint="eastAsia" w:ascii="仿宋_GB2312" w:hAnsi="宋体" w:eastAsia="仿宋_GB2312" w:cs="仿宋_GB2312"/>
          <w:kern w:val="2"/>
          <w:sz w:val="32"/>
          <w:szCs w:val="32"/>
          <w:lang w:val="en-US" w:eastAsia="zh-CN" w:bidi="ar"/>
        </w:rPr>
        <w:t xml:space="preserve"> </w:t>
      </w:r>
      <w:r>
        <w:rPr>
          <w:rFonts w:hint="eastAsia" w:ascii="仿宋_GB2312" w:hAnsi="仿宋" w:eastAsia="仿宋_GB2312" w:cs="仿宋_GB2312"/>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梵净山管理机构应当会同市、县级人民政府相关主管部门，依托铜仁市大数据平台，建立森林防火、建设活动审核审批、违法行为查处、旅游安全管理、气象灾害预警等管控平台。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 xml:space="preserve">第三十条 </w:t>
      </w:r>
      <w:r>
        <w:rPr>
          <w:rFonts w:hint="eastAsia" w:ascii="仿宋_GB2312" w:hAnsi="仿宋" w:eastAsia="仿宋_GB2312" w:cs="仿宋_GB2312"/>
          <w:color w:val="000000"/>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梵净山管理机构应当加强梵净山景区旅游基础设施建设、经营服务等方面的监督检查。景区经营企业应当接受梵净山管理机构的监督检查。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梵净山景区游客数量可能达到最大承载量时，景区经营企业应当提前公告并同时向当地人民政府和梵净山管理机构报告；景区经营企业和当地人民政府应当及时采取疏导、分流等措施。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二级保护区内生态旅游区（黑湾河口-鱼坳-茴香坪-金顶-护国寺-张家坝）经营企业应当根据核定的游客最大承载量，适时公布游客接待情况，不得超容量接待游客。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 xml:space="preserve">第三十一条  </w:t>
      </w:r>
      <w:r>
        <w:rPr>
          <w:rFonts w:hint="eastAsia" w:ascii="仿宋_GB2312" w:hAnsi="仿宋" w:eastAsia="仿宋_GB2312" w:cs="仿宋_GB2312"/>
          <w:kern w:val="2"/>
          <w:sz w:val="32"/>
          <w:szCs w:val="32"/>
          <w:lang w:val="en-US" w:eastAsia="zh-CN" w:bidi="ar"/>
        </w:rPr>
        <w:t>梵净山景区经营企业应当通过展览展示、讲解咨询、智慧服务等方式，向游客提供相关的旅游信息，配备必要的安全管理人员和安全设备设施，设置安全须知标牌和警示标志，加强易燃易爆物品安全管理，定期组织开展安全检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景区经营企业应当对游客的不文明行为进行劝告、制止；游客拒不改正，并造成环境、资源损害的，应当及时报梵净山管理机构或者相关主管部门依法予以处理。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 xml:space="preserve">第三十二条 </w:t>
      </w:r>
      <w:r>
        <w:rPr>
          <w:rFonts w:hint="eastAsia" w:ascii="仿宋_GB2312" w:hAnsi="仿宋" w:eastAsia="仿宋_GB2312" w:cs="仿宋_GB2312"/>
          <w:color w:val="000000"/>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进入梵净山的游客，应当遵守景区管理规定，不得在景物或者设施上刻划、涂污，不得损坏公共设施、攀折树木花草、随意丢弃垃圾。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禁止在没有安全保障的区域进行穿越、攀岩等活动。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仿宋_GB2312" w:hAnsi="仿宋" w:eastAsia="仿宋_GB2312" w:cs="仿宋_GB2312"/>
          <w:kern w:val="2"/>
          <w:sz w:val="32"/>
          <w:szCs w:val="32"/>
          <w:lang w:val="en-US" w:eastAsia="zh-CN" w:bidi="ar"/>
        </w:rPr>
        <w:t>违反前款规定，发生安全事故产生救援费用的，由活动组织者或者被救助人承担。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第三十三条</w:t>
      </w:r>
      <w:r>
        <w:rPr>
          <w:rFonts w:hint="eastAsia" w:ascii="仿宋_GB2312" w:hAnsi="仿宋" w:eastAsia="仿宋_GB2312" w:cs="仿宋_GB2312"/>
          <w:kern w:val="2"/>
          <w:sz w:val="32"/>
          <w:szCs w:val="32"/>
          <w:lang w:val="en-US" w:eastAsia="zh-CN" w:bidi="ar"/>
        </w:rPr>
        <w:t xml:space="preserve"> </w:t>
      </w:r>
      <w:r>
        <w:rPr>
          <w:rFonts w:hint="eastAsia" w:ascii="仿宋_GB2312" w:hAnsi="仿宋" w:eastAsia="仿宋_GB2312" w:cs="仿宋"/>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县、乡级人民政府应当加强梵净山乡村旅游经营者经营活动的监督管理，引导使用电能、液化气、沼气等清洁能源。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乡村旅游经营者不得违法占地、侵占河道摆摊设点和直排污水、乱扔垃圾。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 xml:space="preserve">第三十四条 </w:t>
      </w:r>
      <w:r>
        <w:rPr>
          <w:rFonts w:hint="eastAsia" w:ascii="仿宋_GB2312" w:hAnsi="宋体" w:eastAsia="仿宋_GB2312" w:cs="宋体"/>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县级人民政府应当对一级保护区内国家级自然保护区的原有居民实施整体搬迁，并予以妥善安置。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县级人民政府根据保护管理需要，可以对一级保护区内省级自然保护区的原有居民实施搬迁，并予以妥善安置。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第三十五条</w:t>
      </w:r>
      <w:r>
        <w:rPr>
          <w:rFonts w:hint="eastAsia" w:ascii="仿宋_GB2312" w:hAnsi="宋体" w:eastAsia="仿宋_GB2312" w:cs="宋体"/>
          <w:kern w:val="0"/>
          <w:sz w:val="32"/>
          <w:szCs w:val="32"/>
          <w:lang w:val="en-US" w:eastAsia="zh-CN" w:bidi="ar"/>
        </w:rPr>
        <w:t xml:space="preserve"> </w:t>
      </w:r>
      <w:r>
        <w:rPr>
          <w:rFonts w:hint="eastAsia" w:ascii="仿宋_GB2312" w:hAnsi="仿宋" w:eastAsia="仿宋_GB2312" w:cs="仿宋_GB2312"/>
          <w:color w:val="000000"/>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县级人民政府民政主管部门和乡级人民政府应当加强梵净山原有居民殡葬活动的管理，依法规划建设公墓，并建立相应管理制度。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梵净山原有居民死亡后，应当葬入公墓。提倡树葬、花葬、深埋等节地生态安葬。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禁止在风景名胜区和环线公路可视范围内新建、扩建坟墓和新立墓碑。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第三十六条</w:t>
      </w:r>
      <w:r>
        <w:rPr>
          <w:rFonts w:hint="eastAsia" w:ascii="仿宋_GB2312" w:hAnsi="宋体" w:eastAsia="仿宋_GB2312" w:cs="宋体"/>
          <w:kern w:val="0"/>
          <w:sz w:val="32"/>
          <w:szCs w:val="32"/>
          <w:lang w:val="en-US" w:eastAsia="zh-CN" w:bidi="ar"/>
        </w:rPr>
        <w:t xml:space="preserve"> </w:t>
      </w:r>
      <w:r>
        <w:rPr>
          <w:rFonts w:hint="eastAsia" w:ascii="仿宋_GB2312" w:hAnsi="Times New Roman" w:eastAsia="仿宋_GB2312" w:cs="仿宋_GB2312"/>
          <w:color w:val="000000"/>
          <w:kern w:val="0"/>
          <w:sz w:val="32"/>
          <w:szCs w:val="32"/>
          <w:shd w:val="clear" w:fill="FFFFFF"/>
          <w:lang w:val="en-US" w:eastAsia="zh-CN" w:bidi="ar"/>
        </w:rPr>
        <w:t xml:space="preserve"> </w:t>
      </w:r>
      <w:r>
        <w:rPr>
          <w:rFonts w:hint="eastAsia" w:ascii="仿宋_GB2312" w:hAnsi="仿宋" w:eastAsia="仿宋_GB2312" w:cs="仿宋_GB2312"/>
          <w:kern w:val="2"/>
          <w:sz w:val="32"/>
          <w:szCs w:val="32"/>
          <w:lang w:val="en-US" w:eastAsia="zh-CN" w:bidi="ar"/>
        </w:rPr>
        <w:t>梵净山内宗教活动场所应当建立消防安全、环境保护等管理制度，划定重点防火区域，明确责任人，并设置防火标志。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在宗教活动场所内点灯、烧香等活动，应当在指定区域进行，并由专人管理。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第三十七条</w:t>
      </w:r>
      <w:r>
        <w:rPr>
          <w:rFonts w:hint="eastAsia" w:ascii="仿宋_GB2312" w:hAnsi="宋体" w:eastAsia="仿宋_GB2312" w:cs="宋体"/>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 xml:space="preserve"> 在梵净山举办文化、体育、民俗、节庆等大型活动以及大型演出、影视拍摄活动的单位和个人，应当依法办理审批手续；审批单位应当征求梵净山管理机构的意见。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承办单位应当保护活动场地及周边的资源和环境；活动结束后，及时拆除搭建的临时设施并恢复环境原貌。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审批单位和梵净山管理机构应当对活动场地及周边的资源和环境保护工作进行监督。</w:t>
      </w:r>
    </w:p>
    <w:p>
      <w:pPr>
        <w:keepNext w:val="0"/>
        <w:keepLines w:val="0"/>
        <w:pageBreakBefore w:val="0"/>
        <w:widowControl w:val="0"/>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第三十八条</w:t>
      </w:r>
      <w:r>
        <w:rPr>
          <w:rFonts w:hint="eastAsia" w:ascii="仿宋_GB2312" w:hAnsi="宋体" w:eastAsia="仿宋_GB2312" w:cs="宋体"/>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 xml:space="preserve">市、县、乡级人民政府和有关主管部门及其工作人员违反本条例规定，有下列行为之一，尚不构成犯罪的，对直接负责的主管人员和其他直接责任人员依法追究责任：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（一）违反第十二条第一款规定，未组织编制梵净山内的村寨规划，实现村寨规划全覆盖的；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xml:space="preserve">（二）违反第十四条第一款规定，未征求梵净山管理机构意见的；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xml:space="preserve">（三）违反第二十二条第二款规定，未经市人民政府同意，办理经营性取水许可的；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（四）违反第三十七条第一款、第三款规定，未书面征求梵净山管理机构意见的，或者对活动场地及周边的资源和环境保护工作未履行监督责任的；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（五）其他滥用职权、玩忽职守、徇私舞弊的行为。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第三十九条</w:t>
      </w:r>
      <w:r>
        <w:rPr>
          <w:rFonts w:hint="eastAsia" w:ascii="仿宋_GB2312" w:hAnsi="Times New Roman" w:eastAsia="仿宋_GB2312" w:cs="仿宋_GB2312"/>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梵净山管理机构及其工作人员违反本条例规定，有下列行为之一，尚不构成犯罪的，对直接负责的主管人员和其他直接责任人员依法追究责任：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 xml:space="preserve">（一）违反第十七条第二款规定，未公告梵净山珍稀、濒危野生动植物名录的，或者未设立保护标志的；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（二）违反第二十九条规定，未建立管控平台的；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（三）违反第三十七条第三款规定，对活动场地及周边的资源和环境保护工作未履行监督责任的；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仿宋_GB2312" w:hAnsi="仿宋" w:eastAsia="仿宋_GB2312" w:cs="仿宋_GB2312"/>
          <w:kern w:val="2"/>
          <w:sz w:val="32"/>
          <w:szCs w:val="32"/>
          <w:lang w:val="en-US" w:eastAsia="zh-CN" w:bidi="ar"/>
        </w:rPr>
        <w:t>（四）未依法履行保护管理职责的其他行为。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仿宋" w:eastAsia="仿宋_GB2312" w:cs="仿宋_GB2312"/>
          <w:sz w:val="32"/>
          <w:szCs w:val="32"/>
          <w:lang w:val="en-US"/>
        </w:rPr>
      </w:pPr>
      <w:r>
        <w:rPr>
          <w:rFonts w:hint="eastAsia" w:ascii="黑体" w:hAnsi="宋体" w:eastAsia="黑体" w:cs="黑体"/>
          <w:kern w:val="2"/>
          <w:sz w:val="32"/>
          <w:szCs w:val="32"/>
          <w:lang w:val="en-US" w:eastAsia="zh-CN" w:bidi="ar"/>
        </w:rPr>
        <w:t xml:space="preserve">第四十条 </w:t>
      </w:r>
      <w:r>
        <w:rPr>
          <w:rFonts w:hint="eastAsia" w:ascii="仿宋_GB2312" w:hAnsi="宋体" w:eastAsia="仿宋_GB2312" w:cs="宋体"/>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违反本条例第十四条第三款规定，未在专门弃土场堆放弃渣、弃土的，由县级人民政府水资源等主管部门责令停止违法行为，限期清理，按照倾倒数量处以每立方米10元以上20元以下罚款；逾期仍不清理的，县级人民政府水资源等主管部门可以指定有清理能力的单位代为清理，所需费用由违法行为人承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eastAsia="仿宋_GB2312" w:cs="仿宋_GB2312"/>
          <w:sz w:val="32"/>
          <w:szCs w:val="32"/>
          <w:lang w:val="en-US"/>
        </w:rPr>
      </w:pPr>
      <w:r>
        <w:rPr>
          <w:rFonts w:hint="eastAsia" w:ascii="黑体" w:hAnsi="宋体" w:eastAsia="黑体" w:cs="黑体"/>
          <w:kern w:val="2"/>
          <w:sz w:val="32"/>
          <w:szCs w:val="32"/>
          <w:lang w:val="en-US" w:eastAsia="zh-CN" w:bidi="ar"/>
        </w:rPr>
        <w:t xml:space="preserve">第四十一条 </w:t>
      </w:r>
      <w:r>
        <w:rPr>
          <w:rFonts w:hint="eastAsia" w:ascii="仿宋_GB2312" w:hAnsi="Times New Roman" w:eastAsia="仿宋_GB2312" w:cs="仿宋_GB2312"/>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违反本条例第十九条第二款规定，擅自改变林地用途的，由县级人民政府林业主管部门责令限期恢复原状，处以非法改变用途林地每平方米10元以上30元以下罚款。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宋体"/>
          <w:kern w:val="0"/>
          <w:sz w:val="32"/>
          <w:szCs w:val="32"/>
          <w:lang w:val="en-US"/>
        </w:rPr>
      </w:pPr>
      <w:r>
        <w:rPr>
          <w:rFonts w:hint="eastAsia" w:ascii="黑体" w:hAnsi="宋体" w:eastAsia="黑体" w:cs="黑体"/>
          <w:kern w:val="2"/>
          <w:sz w:val="32"/>
          <w:szCs w:val="32"/>
          <w:lang w:val="en-US" w:eastAsia="zh-CN" w:bidi="ar"/>
        </w:rPr>
        <w:t>第四十二条</w:t>
      </w:r>
      <w:r>
        <w:rPr>
          <w:rFonts w:hint="eastAsia" w:ascii="仿宋_GB2312" w:hAnsi="宋体" w:eastAsia="仿宋_GB2312" w:cs="宋体"/>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违反本条例第三十一条第一款规定，未配备必要的安全管理人员和安全设备设施的，由景区主管部门责令停业整顿直至符合开放条件，处以2万元以上20万元以下罚款。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rPr>
          <w:rFonts w:hint="eastAsia" w:ascii="仿宋_GB2312" w:hAnsi="宋体" w:eastAsia="仿宋_GB2312" w:cs="宋体"/>
          <w:kern w:val="0"/>
          <w:sz w:val="32"/>
          <w:szCs w:val="32"/>
          <w:lang w:val="en-US"/>
        </w:rPr>
      </w:pPr>
      <w:r>
        <w:rPr>
          <w:rFonts w:hint="eastAsia" w:ascii="黑体" w:hAnsi="宋体" w:eastAsia="黑体" w:cs="黑体"/>
          <w:kern w:val="2"/>
          <w:sz w:val="32"/>
          <w:szCs w:val="32"/>
          <w:lang w:val="en-US" w:eastAsia="zh-CN" w:bidi="ar"/>
        </w:rPr>
        <w:t>第四十三条</w:t>
      </w:r>
      <w:r>
        <w:rPr>
          <w:rFonts w:hint="eastAsia" w:ascii="仿宋_GB2312" w:hAnsi="宋体" w:eastAsia="仿宋_GB2312" w:cs="宋体"/>
          <w:kern w:val="0"/>
          <w:sz w:val="32"/>
          <w:szCs w:val="32"/>
          <w:shd w:val="clear" w:fill="FFFFFF"/>
          <w:lang w:val="en-US" w:eastAsia="zh-CN" w:bidi="ar"/>
        </w:rPr>
        <w:t xml:space="preserve">  </w:t>
      </w:r>
      <w:r>
        <w:rPr>
          <w:rFonts w:hint="eastAsia" w:ascii="仿宋_GB2312" w:hAnsi="仿宋" w:eastAsia="仿宋_GB2312" w:cs="仿宋_GB2312"/>
          <w:kern w:val="2"/>
          <w:sz w:val="32"/>
          <w:szCs w:val="32"/>
          <w:lang w:val="en-US" w:eastAsia="zh-CN" w:bidi="ar"/>
        </w:rPr>
        <w:t>违反本条例规定的其他行为，法律、法规有处罚规定的，从其规定。</w:t>
      </w:r>
    </w:p>
    <w:p>
      <w:pPr>
        <w:keepNext w:val="0"/>
        <w:keepLines w:val="0"/>
        <w:pageBreakBefore w:val="0"/>
        <w:widowControl/>
        <w:suppressLineNumbers w:val="0"/>
        <w:kinsoku/>
        <w:wordWrap/>
        <w:overflowPunct/>
        <w:topLinePunct w:val="0"/>
        <w:autoSpaceDE/>
        <w:autoSpaceDN/>
        <w:bidi w:val="0"/>
        <w:adjustRightInd/>
        <w:snapToGrid/>
        <w:spacing w:before="240" w:beforeLines="100" w:beforeAutospacing="0" w:after="240" w:afterLines="100" w:afterAutospacing="0" w:line="592" w:lineRule="exact"/>
        <w:ind w:left="0" w:right="0"/>
        <w:jc w:val="center"/>
        <w:textAlignment w:val="auto"/>
        <w:outlineLvl w:val="9"/>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第六章  附  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outlineLvl w:val="9"/>
      </w:pPr>
      <w:r>
        <w:rPr>
          <w:rFonts w:hint="eastAsia" w:ascii="黑体" w:hAnsi="宋体" w:eastAsia="黑体" w:cs="黑体"/>
          <w:kern w:val="2"/>
          <w:sz w:val="32"/>
          <w:szCs w:val="32"/>
          <w:lang w:val="en-US" w:eastAsia="zh-CN" w:bidi="ar"/>
        </w:rPr>
        <w:t>第四十四条</w:t>
      </w:r>
      <w:r>
        <w:rPr>
          <w:rFonts w:hint="eastAsia" w:ascii="仿宋_GB2312" w:hAnsi="宋体" w:eastAsia="仿宋_GB2312" w:cs="宋体"/>
          <w:kern w:val="0"/>
          <w:sz w:val="32"/>
          <w:szCs w:val="32"/>
          <w:lang w:val="en-US" w:eastAsia="zh-CN" w:bidi="ar"/>
        </w:rPr>
        <w:t xml:space="preserve">  </w:t>
      </w:r>
      <w:r>
        <w:rPr>
          <w:rFonts w:hint="eastAsia" w:ascii="仿宋_GB2312" w:hAnsi="仿宋" w:eastAsia="仿宋_GB2312" w:cs="仿宋_GB2312"/>
          <w:kern w:val="2"/>
          <w:sz w:val="32"/>
          <w:szCs w:val="32"/>
          <w:lang w:val="en-US" w:eastAsia="zh-CN" w:bidi="ar"/>
        </w:rPr>
        <w:t>本条例自2019年1月1日起施行。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T Extra">
    <w:panose1 w:val="05050102010205020202"/>
    <w:charset w:val="02"/>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10DA507E"/>
    <w:rsid w:val="134C7F01"/>
    <w:rsid w:val="1391023B"/>
    <w:rsid w:val="17023DA4"/>
    <w:rsid w:val="17FF2ECA"/>
    <w:rsid w:val="185D28CB"/>
    <w:rsid w:val="1E5B48F4"/>
    <w:rsid w:val="20FA6181"/>
    <w:rsid w:val="21B330E8"/>
    <w:rsid w:val="290C5130"/>
    <w:rsid w:val="33C44606"/>
    <w:rsid w:val="342C46EF"/>
    <w:rsid w:val="35336E7D"/>
    <w:rsid w:val="3F6D52CB"/>
    <w:rsid w:val="464A3F0D"/>
    <w:rsid w:val="48F638C5"/>
    <w:rsid w:val="5BB14ADE"/>
    <w:rsid w:val="5D846D85"/>
    <w:rsid w:val="5F3A3A2A"/>
    <w:rsid w:val="619A32BD"/>
    <w:rsid w:val="6CA57385"/>
    <w:rsid w:val="70CD5701"/>
    <w:rsid w:val="70E27F4C"/>
    <w:rsid w:val="78983391"/>
    <w:rsid w:val="7E43636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6">
    <w:name w:val="page number"/>
    <w:basedOn w:val="5"/>
    <w:qFormat/>
    <w:uiPriority w:val="99"/>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0</TotalTime>
  <ScaleCrop>false</ScaleCrop>
  <LinksUpToDate>false</LinksUpToDate>
  <CharactersWithSpaces>13462</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2018-11-20T03:04:01Z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